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39E6D3" w14:textId="38FE95D2" w:rsidR="00E55B2F" w:rsidRDefault="000E6BDE">
      <w:pPr>
        <w:jc w:val="center"/>
        <w:rPr>
          <w:rFonts w:ascii="Roboto" w:eastAsia="Roboto" w:hAnsi="Roboto" w:cs="Roboto"/>
          <w:sz w:val="32"/>
          <w:szCs w:val="32"/>
        </w:rPr>
      </w:pPr>
      <w:r w:rsidRPr="2562974D">
        <w:rPr>
          <w:rFonts w:ascii="Roboto" w:eastAsia="Roboto" w:hAnsi="Roboto" w:cs="Roboto"/>
          <w:b/>
          <w:color w:val="000000" w:themeColor="text1"/>
          <w:sz w:val="30"/>
          <w:szCs w:val="30"/>
        </w:rPr>
        <w:t xml:space="preserve">El Servicio de Genética Médica del Hospital Universitario de Navarra, acreditado por ENAC para realizar análisis genéticos por técnicas </w:t>
      </w:r>
      <w:r w:rsidR="00DD6424" w:rsidRPr="2562974D">
        <w:rPr>
          <w:rFonts w:ascii="Roboto" w:eastAsia="Roboto" w:hAnsi="Roboto" w:cs="Roboto"/>
          <w:b/>
          <w:color w:val="000000" w:themeColor="text1"/>
          <w:sz w:val="30"/>
          <w:szCs w:val="30"/>
        </w:rPr>
        <w:t>de</w:t>
      </w:r>
      <w:r w:rsidR="00DD6424" w:rsidRPr="2562974D">
        <w:rPr>
          <w:rFonts w:ascii="Roboto" w:eastAsia="Roboto" w:hAnsi="Roboto" w:cs="Roboto"/>
          <w:b/>
          <w:color w:val="FF0000"/>
          <w:sz w:val="30"/>
          <w:szCs w:val="30"/>
        </w:rPr>
        <w:t xml:space="preserve"> </w:t>
      </w:r>
      <w:r w:rsidR="00067B7A" w:rsidRPr="2562974D">
        <w:rPr>
          <w:rFonts w:ascii="Roboto" w:eastAsia="Roboto" w:hAnsi="Roboto" w:cs="Roboto"/>
          <w:b/>
          <w:color w:val="000000" w:themeColor="text1"/>
          <w:sz w:val="30"/>
          <w:szCs w:val="30"/>
        </w:rPr>
        <w:t xml:space="preserve">citogenética y </w:t>
      </w:r>
      <w:r w:rsidRPr="2562974D">
        <w:rPr>
          <w:rFonts w:ascii="Roboto" w:eastAsia="Roboto" w:hAnsi="Roboto" w:cs="Roboto"/>
          <w:b/>
          <w:color w:val="000000" w:themeColor="text1"/>
          <w:sz w:val="30"/>
          <w:szCs w:val="30"/>
        </w:rPr>
        <w:t>biología molecular</w:t>
      </w:r>
    </w:p>
    <w:p w14:paraId="672A6659" w14:textId="77777777" w:rsidR="00E55B2F" w:rsidRDefault="00E55B2F">
      <w:pPr>
        <w:jc w:val="center"/>
        <w:rPr>
          <w:rFonts w:ascii="Roboto" w:eastAsia="Roboto" w:hAnsi="Roboto" w:cs="Roboto"/>
          <w:b/>
          <w:i/>
          <w:sz w:val="2"/>
          <w:szCs w:val="2"/>
        </w:rPr>
      </w:pPr>
    </w:p>
    <w:p w14:paraId="73E75B96" w14:textId="37C4DF08" w:rsidR="00E55B2F" w:rsidRDefault="000E6BDE">
      <w:pPr>
        <w:numPr>
          <w:ilvl w:val="0"/>
          <w:numId w:val="1"/>
        </w:numPr>
        <w:jc w:val="both"/>
        <w:rPr>
          <w:rFonts w:ascii="Roboto" w:eastAsia="Roboto" w:hAnsi="Roboto" w:cs="Roboto"/>
          <w:b/>
          <w:sz w:val="20"/>
          <w:szCs w:val="20"/>
        </w:rPr>
      </w:pPr>
      <w:r>
        <w:rPr>
          <w:rFonts w:ascii="Roboto" w:eastAsia="Roboto" w:hAnsi="Roboto" w:cs="Roboto"/>
          <w:b/>
          <w:sz w:val="20"/>
          <w:szCs w:val="20"/>
        </w:rPr>
        <w:t xml:space="preserve">Los análisis acreditados </w:t>
      </w:r>
      <w:r w:rsidR="00222678">
        <w:rPr>
          <w:rFonts w:ascii="Roboto" w:eastAsia="Roboto" w:hAnsi="Roboto" w:cs="Roboto"/>
          <w:b/>
          <w:sz w:val="20"/>
          <w:szCs w:val="20"/>
        </w:rPr>
        <w:t>aportará</w:t>
      </w:r>
      <w:r w:rsidR="00C74D98">
        <w:rPr>
          <w:rFonts w:ascii="Roboto" w:eastAsia="Roboto" w:hAnsi="Roboto" w:cs="Roboto"/>
          <w:b/>
          <w:sz w:val="20"/>
          <w:szCs w:val="20"/>
        </w:rPr>
        <w:t>n</w:t>
      </w:r>
      <w:r w:rsidR="00222678">
        <w:rPr>
          <w:rFonts w:ascii="Roboto" w:eastAsia="Roboto" w:hAnsi="Roboto" w:cs="Roboto"/>
          <w:b/>
          <w:sz w:val="20"/>
          <w:szCs w:val="20"/>
        </w:rPr>
        <w:t xml:space="preserve"> </w:t>
      </w:r>
      <w:r w:rsidR="0019394D">
        <w:rPr>
          <w:rFonts w:ascii="Roboto" w:eastAsia="Roboto" w:hAnsi="Roboto" w:cs="Roboto"/>
          <w:b/>
          <w:sz w:val="20"/>
          <w:szCs w:val="20"/>
        </w:rPr>
        <w:t xml:space="preserve">mayores </w:t>
      </w:r>
      <w:r w:rsidR="00222678">
        <w:rPr>
          <w:rFonts w:ascii="Roboto" w:eastAsia="Roboto" w:hAnsi="Roboto" w:cs="Roboto"/>
          <w:b/>
          <w:sz w:val="20"/>
          <w:szCs w:val="20"/>
        </w:rPr>
        <w:t xml:space="preserve">garantías de </w:t>
      </w:r>
      <w:r w:rsidR="0019394D">
        <w:rPr>
          <w:rFonts w:ascii="Roboto" w:eastAsia="Roboto" w:hAnsi="Roboto" w:cs="Roboto"/>
          <w:b/>
          <w:sz w:val="20"/>
          <w:szCs w:val="20"/>
        </w:rPr>
        <w:t>calidad diagnóstica</w:t>
      </w:r>
      <w:r>
        <w:rPr>
          <w:rFonts w:ascii="Roboto" w:eastAsia="Roboto" w:hAnsi="Roboto" w:cs="Roboto"/>
          <w:b/>
          <w:sz w:val="20"/>
          <w:szCs w:val="20"/>
        </w:rPr>
        <w:t xml:space="preserve"> a los pacientes para los que es necesario un diagnóstico genético y, en el caso del gen DPYD, para optimizar el tratamiento quimioterápico en pacientes oncológicos.</w:t>
      </w:r>
    </w:p>
    <w:p w14:paraId="0A37501D" w14:textId="77777777" w:rsidR="00E55B2F" w:rsidRDefault="00E55B2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sz w:val="10"/>
          <w:szCs w:val="10"/>
        </w:rPr>
      </w:pPr>
      <w:bookmarkStart w:id="0" w:name="_wrw3zok9muzx" w:colFirst="0" w:colLast="0"/>
      <w:bookmarkEnd w:id="0"/>
    </w:p>
    <w:p w14:paraId="3D62C086" w14:textId="6431EF59" w:rsidR="000E6BDE" w:rsidRDefault="000E6BDE" w:rsidP="63A0B8E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</w:rPr>
      </w:pPr>
      <w:bookmarkStart w:id="1" w:name="_gjdgxs"/>
      <w:bookmarkEnd w:id="1"/>
      <w:r w:rsidRPr="63A0B8EF">
        <w:rPr>
          <w:rFonts w:ascii="Roboto" w:eastAsia="Roboto" w:hAnsi="Roboto" w:cs="Roboto"/>
        </w:rPr>
        <w:t xml:space="preserve">Madrid, </w:t>
      </w:r>
      <w:r w:rsidR="69EC5C36" w:rsidRPr="63A0B8EF">
        <w:rPr>
          <w:rFonts w:ascii="Roboto" w:eastAsia="Roboto" w:hAnsi="Roboto" w:cs="Roboto"/>
        </w:rPr>
        <w:t>1</w:t>
      </w:r>
      <w:r w:rsidR="5C71AF31" w:rsidRPr="63A0B8EF">
        <w:rPr>
          <w:rFonts w:ascii="Roboto" w:eastAsia="Roboto" w:hAnsi="Roboto" w:cs="Roboto"/>
        </w:rPr>
        <w:t>4</w:t>
      </w:r>
      <w:r w:rsidRPr="63A0B8EF">
        <w:rPr>
          <w:rFonts w:ascii="Roboto" w:eastAsia="Roboto" w:hAnsi="Roboto" w:cs="Roboto"/>
        </w:rPr>
        <w:t xml:space="preserve"> de marzo de 2024.-</w:t>
      </w:r>
      <w:r w:rsidR="55C81BBB" w:rsidRPr="63A0B8EF">
        <w:rPr>
          <w:rFonts w:ascii="Roboto" w:eastAsia="Roboto" w:hAnsi="Roboto" w:cs="Roboto"/>
        </w:rPr>
        <w:t xml:space="preserve"> </w:t>
      </w:r>
      <w:r w:rsidRPr="63A0B8EF">
        <w:rPr>
          <w:rFonts w:ascii="Roboto" w:eastAsia="Roboto" w:hAnsi="Roboto" w:cs="Roboto"/>
        </w:rPr>
        <w:t xml:space="preserve">La </w:t>
      </w:r>
      <w:hyperlink r:id="rId10">
        <w:r w:rsidRPr="63A0B8EF">
          <w:rPr>
            <w:rFonts w:ascii="Roboto" w:eastAsia="Roboto" w:hAnsi="Roboto" w:cs="Roboto"/>
            <w:color w:val="1155CC"/>
            <w:u w:val="single"/>
          </w:rPr>
          <w:t>Entidad Nacional de Acreditación</w:t>
        </w:r>
      </w:hyperlink>
      <w:r w:rsidRPr="63A0B8EF">
        <w:rPr>
          <w:rFonts w:ascii="Roboto" w:eastAsia="Roboto" w:hAnsi="Roboto" w:cs="Roboto"/>
        </w:rPr>
        <w:t xml:space="preserve"> (ENAC) ha concedido</w:t>
      </w:r>
      <w:r w:rsidR="008D11FC" w:rsidRPr="63A0B8EF">
        <w:rPr>
          <w:rFonts w:ascii="Roboto" w:eastAsia="Roboto" w:hAnsi="Roboto" w:cs="Roboto"/>
        </w:rPr>
        <w:t xml:space="preserve"> al Servicio de Genética Médica </w:t>
      </w:r>
      <w:r w:rsidR="0F37FD44" w:rsidRPr="63A0B8EF">
        <w:rPr>
          <w:rFonts w:ascii="Roboto" w:eastAsia="Roboto" w:hAnsi="Roboto" w:cs="Roboto"/>
          <w:color w:val="000000" w:themeColor="text1"/>
        </w:rPr>
        <w:t>del Hospital Universitario de Navarra, Servicio Navarro de Salud-</w:t>
      </w:r>
      <w:proofErr w:type="spellStart"/>
      <w:r w:rsidR="0F37FD44" w:rsidRPr="63A0B8EF">
        <w:rPr>
          <w:rFonts w:ascii="Roboto" w:eastAsia="Roboto" w:hAnsi="Roboto" w:cs="Roboto"/>
          <w:color w:val="000000" w:themeColor="text1"/>
        </w:rPr>
        <w:t>Osasunbidea</w:t>
      </w:r>
      <w:proofErr w:type="spellEnd"/>
      <w:r w:rsidR="0F37FD44" w:rsidRPr="63A0B8EF">
        <w:rPr>
          <w:rFonts w:ascii="Roboto" w:eastAsia="Roboto" w:hAnsi="Roboto" w:cs="Roboto"/>
          <w:color w:val="000000" w:themeColor="text1"/>
        </w:rPr>
        <w:t>, la acreditación para la realización de análisis genéticos por técnicas de citogenética y de biología molecular.</w:t>
      </w:r>
    </w:p>
    <w:p w14:paraId="47A31F53" w14:textId="5D013949" w:rsidR="00E55B2F" w:rsidRPr="00DD6424" w:rsidRDefault="000E6B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FF0000"/>
        </w:rPr>
      </w:pPr>
      <w:r w:rsidRPr="16B101EF">
        <w:rPr>
          <w:rFonts w:ascii="Roboto" w:eastAsia="Roboto" w:hAnsi="Roboto" w:cs="Roboto"/>
          <w:color w:val="000000" w:themeColor="text1"/>
        </w:rPr>
        <w:t xml:space="preserve">En concreto, las pruebas acreditadas </w:t>
      </w:r>
      <w:r w:rsidR="00DC280B" w:rsidRPr="16B101EF">
        <w:rPr>
          <w:rFonts w:ascii="Roboto" w:eastAsia="Roboto" w:hAnsi="Roboto" w:cs="Roboto"/>
          <w:color w:val="000000" w:themeColor="text1"/>
        </w:rPr>
        <w:t>incluyen</w:t>
      </w:r>
      <w:r w:rsidRPr="16B101EF">
        <w:rPr>
          <w:rFonts w:ascii="Roboto" w:eastAsia="Roboto" w:hAnsi="Roboto" w:cs="Roboto"/>
          <w:color w:val="000000" w:themeColor="text1"/>
        </w:rPr>
        <w:t xml:space="preserve"> </w:t>
      </w:r>
      <w:r w:rsidRPr="16B101EF">
        <w:rPr>
          <w:rFonts w:ascii="Roboto" w:eastAsia="Roboto" w:hAnsi="Roboto" w:cs="Roboto"/>
          <w:b/>
          <w:color w:val="000000" w:themeColor="text1"/>
        </w:rPr>
        <w:t xml:space="preserve">los análisis </w:t>
      </w:r>
      <w:r w:rsidR="002C15E9" w:rsidRPr="16B101EF">
        <w:rPr>
          <w:rFonts w:ascii="Roboto" w:eastAsia="Roboto" w:hAnsi="Roboto" w:cs="Roboto"/>
          <w:b/>
          <w:color w:val="000000" w:themeColor="text1"/>
        </w:rPr>
        <w:t>de los</w:t>
      </w:r>
      <w:r w:rsidR="005871FD" w:rsidRPr="16B101EF">
        <w:rPr>
          <w:rFonts w:ascii="Roboto" w:eastAsia="Roboto" w:hAnsi="Roboto" w:cs="Roboto"/>
          <w:b/>
          <w:color w:val="000000" w:themeColor="text1"/>
        </w:rPr>
        <w:t xml:space="preserve"> genes</w:t>
      </w:r>
      <w:r w:rsidRPr="16B101EF">
        <w:rPr>
          <w:rFonts w:ascii="Roboto" w:eastAsia="Roboto" w:hAnsi="Roboto" w:cs="Roboto"/>
          <w:b/>
          <w:color w:val="000000" w:themeColor="text1"/>
        </w:rPr>
        <w:t xml:space="preserve"> que permite</w:t>
      </w:r>
      <w:r w:rsidR="005871FD" w:rsidRPr="16B101EF">
        <w:rPr>
          <w:rFonts w:ascii="Roboto" w:eastAsia="Roboto" w:hAnsi="Roboto" w:cs="Roboto"/>
          <w:b/>
          <w:color w:val="000000" w:themeColor="text1"/>
        </w:rPr>
        <w:t>n</w:t>
      </w:r>
      <w:r w:rsidR="001D4282" w:rsidRPr="16B101EF">
        <w:rPr>
          <w:rFonts w:ascii="Roboto" w:eastAsia="Roboto" w:hAnsi="Roboto" w:cs="Roboto"/>
          <w:color w:val="000000" w:themeColor="text1"/>
        </w:rPr>
        <w:t>, por un lado,</w:t>
      </w:r>
      <w:r w:rsidRPr="16B101EF">
        <w:rPr>
          <w:rFonts w:ascii="Roboto" w:eastAsia="Roboto" w:hAnsi="Roboto" w:cs="Roboto"/>
          <w:b/>
          <w:color w:val="000000" w:themeColor="text1"/>
        </w:rPr>
        <w:t xml:space="preserve"> detectar</w:t>
      </w:r>
      <w:r w:rsidR="001D4282" w:rsidRPr="16B101EF">
        <w:rPr>
          <w:rFonts w:ascii="Roboto" w:eastAsia="Roboto" w:hAnsi="Roboto" w:cs="Roboto"/>
          <w:b/>
          <w:color w:val="000000" w:themeColor="text1"/>
        </w:rPr>
        <w:t xml:space="preserve"> enfermedades como</w:t>
      </w:r>
      <w:r w:rsidRPr="16B101EF">
        <w:rPr>
          <w:rFonts w:ascii="Roboto" w:eastAsia="Roboto" w:hAnsi="Roboto" w:cs="Roboto"/>
          <w:b/>
          <w:color w:val="000000" w:themeColor="text1"/>
        </w:rPr>
        <w:t xml:space="preserve"> el síndrome X–Frágil</w:t>
      </w:r>
      <w:r w:rsidR="00C864B2" w:rsidRPr="16B101EF">
        <w:rPr>
          <w:rFonts w:ascii="Roboto" w:eastAsia="Roboto" w:hAnsi="Roboto" w:cs="Roboto"/>
          <w:b/>
          <w:color w:val="000000" w:themeColor="text1"/>
        </w:rPr>
        <w:t xml:space="preserve">, la </w:t>
      </w:r>
      <w:r w:rsidRPr="16B101EF">
        <w:rPr>
          <w:rFonts w:ascii="Roboto" w:eastAsia="Roboto" w:hAnsi="Roboto" w:cs="Roboto"/>
          <w:b/>
          <w:color w:val="000000" w:themeColor="text1"/>
        </w:rPr>
        <w:t>hemocromatosis hereditaria</w:t>
      </w:r>
      <w:r w:rsidR="00BB1D67" w:rsidRPr="16B101EF">
        <w:rPr>
          <w:rFonts w:ascii="Roboto" w:eastAsia="Roboto" w:hAnsi="Roboto" w:cs="Roboto"/>
          <w:b/>
          <w:color w:val="000000" w:themeColor="text1"/>
        </w:rPr>
        <w:t xml:space="preserve"> y</w:t>
      </w:r>
      <w:r w:rsidRPr="16B101EF">
        <w:rPr>
          <w:rFonts w:ascii="Roboto" w:eastAsia="Roboto" w:hAnsi="Roboto" w:cs="Roboto"/>
          <w:b/>
          <w:color w:val="000000" w:themeColor="text1"/>
        </w:rPr>
        <w:t xml:space="preserve"> </w:t>
      </w:r>
      <w:r w:rsidR="00067B7A" w:rsidRPr="16B101EF">
        <w:rPr>
          <w:rFonts w:ascii="Roboto" w:eastAsia="Roboto" w:hAnsi="Roboto" w:cs="Roboto"/>
          <w:b/>
          <w:color w:val="000000" w:themeColor="text1"/>
        </w:rPr>
        <w:t xml:space="preserve">determinados </w:t>
      </w:r>
      <w:r w:rsidRPr="16B101EF">
        <w:rPr>
          <w:rFonts w:ascii="Roboto" w:eastAsia="Roboto" w:hAnsi="Roboto" w:cs="Roboto"/>
          <w:b/>
          <w:color w:val="000000" w:themeColor="text1"/>
        </w:rPr>
        <w:t xml:space="preserve">síndromes mieloproliferativos </w:t>
      </w:r>
      <w:r w:rsidR="001D4282" w:rsidRPr="16B101EF">
        <w:rPr>
          <w:rFonts w:ascii="Roboto" w:eastAsia="Roboto" w:hAnsi="Roboto" w:cs="Roboto"/>
          <w:color w:val="000000" w:themeColor="text1"/>
        </w:rPr>
        <w:t xml:space="preserve">y, por otro, </w:t>
      </w:r>
      <w:r w:rsidR="00067B7A" w:rsidRPr="16B101EF">
        <w:rPr>
          <w:rFonts w:ascii="Roboto" w:eastAsia="Roboto" w:hAnsi="Roboto" w:cs="Roboto"/>
          <w:color w:val="000000" w:themeColor="text1"/>
        </w:rPr>
        <w:t xml:space="preserve">un </w:t>
      </w:r>
      <w:r w:rsidR="0065613F" w:rsidRPr="16B101EF">
        <w:rPr>
          <w:rFonts w:ascii="Roboto" w:eastAsia="Roboto" w:hAnsi="Roboto" w:cs="Roboto"/>
          <w:color w:val="000000" w:themeColor="text1"/>
        </w:rPr>
        <w:t>gen</w:t>
      </w:r>
      <w:r w:rsidR="00067B7A" w:rsidRPr="16B101EF">
        <w:rPr>
          <w:rFonts w:ascii="Roboto" w:eastAsia="Roboto" w:hAnsi="Roboto" w:cs="Roboto"/>
          <w:color w:val="000000" w:themeColor="text1"/>
        </w:rPr>
        <w:t xml:space="preserve"> (DPYD)</w:t>
      </w:r>
      <w:r w:rsidR="0065613F" w:rsidRPr="16B101EF">
        <w:rPr>
          <w:rFonts w:ascii="Roboto" w:eastAsia="Roboto" w:hAnsi="Roboto" w:cs="Roboto"/>
          <w:color w:val="000000" w:themeColor="text1"/>
        </w:rPr>
        <w:t xml:space="preserve"> que ayuda al</w:t>
      </w:r>
      <w:r w:rsidR="0065613F" w:rsidRPr="16B101EF">
        <w:rPr>
          <w:rFonts w:ascii="Roboto" w:eastAsia="Roboto" w:hAnsi="Roboto" w:cs="Roboto"/>
          <w:b/>
          <w:color w:val="000000" w:themeColor="text1"/>
        </w:rPr>
        <w:t xml:space="preserve"> </w:t>
      </w:r>
      <w:r w:rsidRPr="16B101EF">
        <w:rPr>
          <w:rFonts w:ascii="Roboto" w:eastAsia="Roboto" w:hAnsi="Roboto" w:cs="Roboto"/>
          <w:b/>
          <w:color w:val="000000" w:themeColor="text1"/>
        </w:rPr>
        <w:t>pronóstico de la toxicidad y respuesta a algunos fármacos quimioterapéuticos en pacientes oncológicos</w:t>
      </w:r>
      <w:r w:rsidRPr="16B101EF">
        <w:rPr>
          <w:rFonts w:ascii="Roboto" w:eastAsia="Roboto" w:hAnsi="Roboto" w:cs="Roboto"/>
          <w:color w:val="000000" w:themeColor="text1"/>
        </w:rPr>
        <w:t>. El alcance de la acreditación además</w:t>
      </w:r>
      <w:r w:rsidR="00A24557" w:rsidRPr="16B101EF">
        <w:rPr>
          <w:rFonts w:ascii="Roboto" w:eastAsia="Roboto" w:hAnsi="Roboto" w:cs="Roboto"/>
          <w:color w:val="000000" w:themeColor="text1"/>
        </w:rPr>
        <w:t xml:space="preserve"> abarca</w:t>
      </w:r>
      <w:r w:rsidRPr="16B101EF">
        <w:rPr>
          <w:rFonts w:ascii="Roboto" w:eastAsia="Roboto" w:hAnsi="Roboto" w:cs="Roboto"/>
          <w:color w:val="000000" w:themeColor="text1"/>
        </w:rPr>
        <w:t xml:space="preserve"> el análisis de cariotipo postnatal constitucional, que permite detectar </w:t>
      </w:r>
      <w:r w:rsidRPr="16B101EF">
        <w:rPr>
          <w:rFonts w:ascii="Roboto" w:eastAsia="Roboto" w:hAnsi="Roboto" w:cs="Roboto"/>
          <w:b/>
          <w:color w:val="000000" w:themeColor="text1"/>
        </w:rPr>
        <w:t>posibles anomalías en los cromosomas</w:t>
      </w:r>
      <w:r w:rsidR="00DD6424" w:rsidRPr="16B101EF">
        <w:rPr>
          <w:rFonts w:ascii="Roboto" w:eastAsia="Roboto" w:hAnsi="Roboto" w:cs="Roboto"/>
          <w:b/>
          <w:color w:val="000000" w:themeColor="text1"/>
        </w:rPr>
        <w:t>,</w:t>
      </w:r>
      <w:r w:rsidR="00DD6424" w:rsidRPr="16B101EF">
        <w:rPr>
          <w:color w:val="000000" w:themeColor="text1"/>
        </w:rPr>
        <w:t xml:space="preserve"> </w:t>
      </w:r>
      <w:r w:rsidR="00DD6424" w:rsidRPr="16B101EF">
        <w:rPr>
          <w:rFonts w:ascii="Roboto" w:eastAsia="Roboto" w:hAnsi="Roboto" w:cs="Roboto"/>
          <w:b/>
          <w:color w:val="000000" w:themeColor="text1"/>
        </w:rPr>
        <w:t>fundamental para</w:t>
      </w:r>
      <w:r w:rsidR="00DD6424" w:rsidRPr="16B101EF">
        <w:rPr>
          <w:color w:val="000000" w:themeColor="text1"/>
        </w:rPr>
        <w:t xml:space="preserve"> </w:t>
      </w:r>
      <w:r w:rsidR="00DD6424" w:rsidRPr="16B101EF">
        <w:rPr>
          <w:rFonts w:ascii="Roboto" w:eastAsia="Roboto" w:hAnsi="Roboto" w:cs="Roboto"/>
          <w:b/>
          <w:color w:val="000000" w:themeColor="text1"/>
        </w:rPr>
        <w:t>orientar el diagnóstico y las posibilidades de embarazo con un tratamiento de reproducción asistida, entre otros</w:t>
      </w:r>
      <w:r w:rsidRPr="16B101EF">
        <w:rPr>
          <w:rFonts w:ascii="Roboto" w:eastAsia="Roboto" w:hAnsi="Roboto" w:cs="Roboto"/>
          <w:color w:val="000000" w:themeColor="text1"/>
        </w:rPr>
        <w:t>.</w:t>
      </w:r>
      <w:r w:rsidRPr="00DD6424">
        <w:rPr>
          <w:rFonts w:ascii="Roboto" w:eastAsia="Roboto" w:hAnsi="Roboto" w:cs="Roboto"/>
          <w:color w:val="FF0000"/>
        </w:rPr>
        <w:t xml:space="preserve"> </w:t>
      </w:r>
    </w:p>
    <w:p w14:paraId="5B4F10B6" w14:textId="620235D8" w:rsidR="0058058E" w:rsidRDefault="0058058E" w:rsidP="0058058E">
      <w:pPr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E</w:t>
      </w:r>
      <w:r w:rsidR="00B622B0">
        <w:rPr>
          <w:rFonts w:ascii="Roboto" w:eastAsia="Roboto" w:hAnsi="Roboto" w:cs="Roboto"/>
        </w:rPr>
        <w:t>sta</w:t>
      </w:r>
      <w:r>
        <w:rPr>
          <w:rFonts w:ascii="Roboto" w:eastAsia="Roboto" w:hAnsi="Roboto" w:cs="Roboto"/>
        </w:rPr>
        <w:t xml:space="preserve"> acreditación aportará </w:t>
      </w:r>
      <w:r w:rsidR="003A5E2D">
        <w:rPr>
          <w:rFonts w:ascii="Roboto" w:eastAsia="Roboto" w:hAnsi="Roboto" w:cs="Roboto"/>
        </w:rPr>
        <w:t xml:space="preserve">mayores </w:t>
      </w:r>
      <w:r>
        <w:rPr>
          <w:rFonts w:ascii="Roboto" w:eastAsia="Roboto" w:hAnsi="Roboto" w:cs="Roboto"/>
        </w:rPr>
        <w:t>garantía</w:t>
      </w:r>
      <w:r w:rsidR="00B622B0">
        <w:rPr>
          <w:rFonts w:ascii="Roboto" w:eastAsia="Roboto" w:hAnsi="Roboto" w:cs="Roboto"/>
        </w:rPr>
        <w:t>s de</w:t>
      </w:r>
      <w:r w:rsidR="006613F5">
        <w:rPr>
          <w:rFonts w:ascii="Roboto" w:eastAsia="Roboto" w:hAnsi="Roboto" w:cs="Roboto"/>
        </w:rPr>
        <w:t xml:space="preserve"> calidad diagnóstica</w:t>
      </w:r>
      <w:r w:rsidR="00B622B0">
        <w:rPr>
          <w:rFonts w:ascii="Roboto" w:eastAsia="Roboto" w:hAnsi="Roboto" w:cs="Roboto"/>
        </w:rPr>
        <w:t xml:space="preserve"> </w:t>
      </w:r>
      <w:r>
        <w:rPr>
          <w:rFonts w:ascii="Roboto" w:eastAsia="Roboto" w:hAnsi="Roboto" w:cs="Roboto"/>
          <w:b/>
        </w:rPr>
        <w:t>a los pacientes para los que es necesario un diagnóstico genético</w:t>
      </w:r>
      <w:r>
        <w:rPr>
          <w:rFonts w:ascii="Roboto" w:eastAsia="Roboto" w:hAnsi="Roboto" w:cs="Roboto"/>
        </w:rPr>
        <w:t xml:space="preserve"> y</w:t>
      </w:r>
      <w:r w:rsidR="00747144">
        <w:rPr>
          <w:rFonts w:ascii="Roboto" w:eastAsia="Roboto" w:hAnsi="Roboto" w:cs="Roboto"/>
        </w:rPr>
        <w:t>,</w:t>
      </w:r>
      <w:r>
        <w:rPr>
          <w:rFonts w:ascii="Roboto" w:eastAsia="Roboto" w:hAnsi="Roboto" w:cs="Roboto"/>
        </w:rPr>
        <w:t xml:space="preserve"> en el caso del gen DPYD</w:t>
      </w:r>
      <w:r w:rsidR="00747144">
        <w:rPr>
          <w:rFonts w:ascii="Roboto" w:eastAsia="Roboto" w:hAnsi="Roboto" w:cs="Roboto"/>
        </w:rPr>
        <w:t>,</w:t>
      </w:r>
      <w:r>
        <w:rPr>
          <w:rFonts w:ascii="Roboto" w:eastAsia="Roboto" w:hAnsi="Roboto" w:cs="Roboto"/>
        </w:rPr>
        <w:t xml:space="preserve"> para </w:t>
      </w:r>
      <w:r>
        <w:rPr>
          <w:rFonts w:ascii="Roboto" w:eastAsia="Roboto" w:hAnsi="Roboto" w:cs="Roboto"/>
          <w:b/>
        </w:rPr>
        <w:t>optimizar el tratamiento quimioterápico en pacientes oncológicos</w:t>
      </w:r>
      <w:r>
        <w:rPr>
          <w:rFonts w:ascii="Roboto" w:eastAsia="Roboto" w:hAnsi="Roboto" w:cs="Roboto"/>
        </w:rPr>
        <w:t xml:space="preserve">. </w:t>
      </w:r>
    </w:p>
    <w:p w14:paraId="3E9B7E99" w14:textId="113BDB0E" w:rsidR="00E55B2F" w:rsidRDefault="000E6BDE" w:rsidP="2C131712">
      <w:pPr>
        <w:ind w:left="-20" w:right="-20"/>
        <w:jc w:val="both"/>
      </w:pPr>
      <w:r w:rsidRPr="60A0CD3D">
        <w:rPr>
          <w:rFonts w:ascii="Roboto" w:eastAsia="Roboto" w:hAnsi="Roboto" w:cs="Roboto"/>
          <w:b/>
          <w:bCs/>
          <w:color w:val="000000" w:themeColor="text1"/>
        </w:rPr>
        <w:t>La acreditación</w:t>
      </w:r>
      <w:r w:rsidR="00067B7A" w:rsidRPr="60A0CD3D">
        <w:rPr>
          <w:rFonts w:ascii="Roboto" w:eastAsia="Roboto" w:hAnsi="Roboto" w:cs="Roboto"/>
          <w:b/>
          <w:bCs/>
          <w:color w:val="000000" w:themeColor="text1"/>
        </w:rPr>
        <w:t xml:space="preserve"> es una garantía</w:t>
      </w:r>
      <w:r w:rsidRPr="60A0CD3D">
        <w:rPr>
          <w:rFonts w:ascii="Roboto" w:eastAsia="Roboto" w:hAnsi="Roboto" w:cs="Roboto"/>
          <w:b/>
          <w:bCs/>
          <w:color w:val="000000" w:themeColor="text1"/>
        </w:rPr>
        <w:t xml:space="preserve"> para los servicios diagnósticos </w:t>
      </w:r>
      <w:r w:rsidR="00067B7A" w:rsidRPr="60A0CD3D">
        <w:rPr>
          <w:rFonts w:ascii="Roboto" w:eastAsia="Roboto" w:hAnsi="Roboto" w:cs="Roboto"/>
          <w:b/>
          <w:bCs/>
          <w:color w:val="000000" w:themeColor="text1"/>
        </w:rPr>
        <w:t xml:space="preserve">que revierte </w:t>
      </w:r>
      <w:r w:rsidRPr="60A0CD3D">
        <w:rPr>
          <w:rFonts w:ascii="Roboto" w:eastAsia="Roboto" w:hAnsi="Roboto" w:cs="Roboto"/>
          <w:b/>
          <w:bCs/>
          <w:color w:val="000000" w:themeColor="text1"/>
        </w:rPr>
        <w:t>en beneficio del paciente</w:t>
      </w:r>
      <w:r w:rsidR="2B8B6FC4" w:rsidRPr="60A0CD3D">
        <w:rPr>
          <w:rFonts w:ascii="Roboto" w:eastAsia="Roboto" w:hAnsi="Roboto" w:cs="Roboto"/>
          <w:b/>
          <w:bCs/>
          <w:color w:val="000000" w:themeColor="text1"/>
        </w:rPr>
        <w:t>.</w:t>
      </w:r>
    </w:p>
    <w:p w14:paraId="527C6B9C" w14:textId="77777777" w:rsidR="002B652E" w:rsidRDefault="002B652E">
      <w:pPr>
        <w:spacing w:after="0" w:line="240" w:lineRule="auto"/>
        <w:jc w:val="both"/>
        <w:rPr>
          <w:rFonts w:ascii="Roboto" w:eastAsia="Roboto" w:hAnsi="Roboto" w:cs="Roboto"/>
          <w:b/>
          <w:color w:val="E83544"/>
        </w:rPr>
      </w:pPr>
    </w:p>
    <w:p w14:paraId="4A94B3C5" w14:textId="77777777" w:rsidR="002B652E" w:rsidRDefault="002B652E">
      <w:pPr>
        <w:spacing w:after="0" w:line="240" w:lineRule="auto"/>
        <w:jc w:val="both"/>
        <w:rPr>
          <w:rFonts w:ascii="Roboto" w:eastAsia="Roboto" w:hAnsi="Roboto" w:cs="Roboto"/>
          <w:b/>
          <w:color w:val="E83544"/>
        </w:rPr>
      </w:pPr>
    </w:p>
    <w:p w14:paraId="6F4D1779" w14:textId="0A3912D9" w:rsidR="00E55B2F" w:rsidRDefault="000E6BDE">
      <w:pPr>
        <w:spacing w:after="0" w:line="240" w:lineRule="auto"/>
        <w:jc w:val="both"/>
        <w:rPr>
          <w:rFonts w:ascii="Roboto" w:eastAsia="Roboto" w:hAnsi="Roboto" w:cs="Roboto"/>
          <w:b/>
          <w:color w:val="E83544"/>
        </w:rPr>
      </w:pPr>
      <w:r>
        <w:rPr>
          <w:rFonts w:ascii="Roboto" w:eastAsia="Roboto" w:hAnsi="Roboto" w:cs="Roboto"/>
          <w:b/>
          <w:color w:val="E83544"/>
        </w:rPr>
        <w:t>Sobre ENAC y el sector sanitario</w:t>
      </w:r>
    </w:p>
    <w:p w14:paraId="02EB378F" w14:textId="77777777" w:rsidR="00E55B2F" w:rsidRDefault="00E55B2F">
      <w:pPr>
        <w:spacing w:after="0" w:line="240" w:lineRule="auto"/>
        <w:jc w:val="both"/>
        <w:rPr>
          <w:rFonts w:ascii="Roboto" w:eastAsia="Roboto" w:hAnsi="Roboto" w:cs="Roboto"/>
          <w:b/>
          <w:color w:val="E83544"/>
        </w:rPr>
      </w:pPr>
    </w:p>
    <w:p w14:paraId="27B6608F" w14:textId="77777777" w:rsidR="00E55B2F" w:rsidRDefault="000E6BDE">
      <w:pPr>
        <w:jc w:val="both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</w:rPr>
        <w:t>La calidad y la seguridad son dos elementos fundamentales para garantizar un sistema sanitario acorde con las necesidades actuales. La acreditación de ENAC proporciona</w:t>
      </w:r>
      <w:r>
        <w:rPr>
          <w:rFonts w:ascii="Roboto" w:eastAsia="Roboto" w:hAnsi="Roboto" w:cs="Roboto"/>
          <w:b/>
          <w:color w:val="000000"/>
        </w:rPr>
        <w:t xml:space="preserve"> </w:t>
      </w:r>
      <w:r>
        <w:rPr>
          <w:rFonts w:ascii="Roboto" w:eastAsia="Roboto" w:hAnsi="Roboto" w:cs="Roboto"/>
          <w:color w:val="000000"/>
        </w:rPr>
        <w:t xml:space="preserve">confianza en los diferentes ámbitos y etapas de la prestación de los servicios siendo un sector en el que cada vez se hace más uso de la acreditación como instrumento de seguridad y control.  </w:t>
      </w:r>
    </w:p>
    <w:p w14:paraId="02EF3E62" w14:textId="24C5B95D" w:rsidR="00E55B2F" w:rsidRDefault="000E6BDE" w:rsidP="60A0CD3D">
      <w:pPr>
        <w:jc w:val="both"/>
        <w:rPr>
          <w:rFonts w:ascii="Roboto" w:eastAsia="Roboto" w:hAnsi="Roboto" w:cs="Roboto"/>
          <w:color w:val="000000"/>
        </w:rPr>
      </w:pPr>
      <w:r w:rsidRPr="60A0CD3D">
        <w:rPr>
          <w:rFonts w:ascii="Roboto" w:eastAsia="Roboto" w:hAnsi="Roboto" w:cs="Roboto"/>
          <w:color w:val="000000" w:themeColor="text1"/>
        </w:rPr>
        <w:t xml:space="preserve">La Entidad Nacional de Acreditación – ENAC – es la entidad designada por el Gobierno para operar en España como el único Organismo Nacional de Acreditación, en aplicación del Reglamento (CE) nº765/2008 del Parlamento Europeo que regula el funcionamiento de la acreditación en Europa. </w:t>
      </w:r>
    </w:p>
    <w:p w14:paraId="48CEAFF0" w14:textId="77777777" w:rsidR="00CE2AD9" w:rsidRDefault="00CE2AD9" w:rsidP="00CE2AD9">
      <w:pPr>
        <w:jc w:val="both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</w:rPr>
        <w:t xml:space="preserve">ENAC ha acreditado a laboratorios de muy diversas especialidades (inmunología, bioquímica, genética, microbiología, hematología, anatomía patológica) y de diferentes </w:t>
      </w:r>
      <w:r>
        <w:rPr>
          <w:rFonts w:ascii="Roboto" w:eastAsia="Roboto" w:hAnsi="Roboto" w:cs="Roboto"/>
          <w:color w:val="000000"/>
        </w:rPr>
        <w:lastRenderedPageBreak/>
        <w:t xml:space="preserve">niveles de especialización, desde centros nacionales de referencia a laboratorios hospitalarios de rutina y de urgencias, tanto públicos como privados.  </w:t>
      </w:r>
    </w:p>
    <w:p w14:paraId="3C406F91" w14:textId="77777777" w:rsidR="00CE2AD9" w:rsidRDefault="00CE2AD9" w:rsidP="00CE2AD9">
      <w:pPr>
        <w:jc w:val="both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</w:rPr>
        <w:t xml:space="preserve">La acreditación es la herramienta que proporciona confianza a los pacientes, prescriptores y gestores de servicios sanitarios y sociosanitarios de que los laboratorios clínicos han demostrado su competencia al superar un proceso de evaluación independiente y conforme a normas reconocidas internacionalmente. La norma UNE-EN ISO 15189 es el estándar especialmente enfocado al paciente como eje central de la actividad del laboratorio clínico. </w:t>
      </w:r>
    </w:p>
    <w:p w14:paraId="41C8F396" w14:textId="77777777" w:rsidR="00E55B2F" w:rsidRDefault="00E55B2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</w:rPr>
      </w:pPr>
    </w:p>
    <w:p w14:paraId="72ADE443" w14:textId="77777777" w:rsidR="00E55B2F" w:rsidRDefault="002B652E">
      <w:pPr>
        <w:pBdr>
          <w:bottom w:val="single" w:sz="12" w:space="1" w:color="000000"/>
        </w:pBdr>
        <w:spacing w:after="0" w:line="240" w:lineRule="auto"/>
        <w:jc w:val="both"/>
        <w:rPr>
          <w:rFonts w:ascii="Roboto" w:eastAsia="Roboto" w:hAnsi="Roboto" w:cs="Roboto"/>
          <w:color w:val="000000"/>
        </w:rPr>
      </w:pPr>
      <w:hyperlink r:id="rId11">
        <w:r w:rsidR="000E6BDE">
          <w:rPr>
            <w:rFonts w:ascii="Roboto" w:eastAsia="Roboto" w:hAnsi="Roboto" w:cs="Roboto"/>
            <w:color w:val="000000"/>
            <w:u w:val="single"/>
          </w:rPr>
          <w:t>www.enac.es</w:t>
        </w:r>
      </w:hyperlink>
      <w:r w:rsidR="000E6BDE">
        <w:rPr>
          <w:rFonts w:ascii="Roboto" w:eastAsia="Roboto" w:hAnsi="Roboto" w:cs="Roboto"/>
          <w:color w:val="000000"/>
        </w:rPr>
        <w:t xml:space="preserve"> </w:t>
      </w:r>
    </w:p>
    <w:p w14:paraId="72A3D3EC" w14:textId="77777777" w:rsidR="00E55B2F" w:rsidRDefault="00E55B2F">
      <w:pPr>
        <w:pBdr>
          <w:bottom w:val="single" w:sz="12" w:space="1" w:color="000000"/>
        </w:pBdr>
        <w:spacing w:after="0" w:line="240" w:lineRule="auto"/>
        <w:jc w:val="both"/>
        <w:rPr>
          <w:rFonts w:ascii="Roboto" w:eastAsia="Roboto" w:hAnsi="Roboto" w:cs="Roboto"/>
          <w:color w:val="000000"/>
        </w:rPr>
      </w:pPr>
    </w:p>
    <w:p w14:paraId="54F9AE05" w14:textId="77777777" w:rsidR="00E55B2F" w:rsidRDefault="000E6BDE">
      <w:pPr>
        <w:pBdr>
          <w:bottom w:val="single" w:sz="12" w:space="1" w:color="000000"/>
        </w:pBdr>
        <w:spacing w:after="0" w:line="240" w:lineRule="auto"/>
        <w:jc w:val="both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</w:rPr>
        <w:t xml:space="preserve"> </w:t>
      </w:r>
      <w:r>
        <w:rPr>
          <w:rFonts w:ascii="Roboto" w:eastAsia="Roboto" w:hAnsi="Roboto" w:cs="Roboto"/>
          <w:noProof/>
          <w:color w:val="0000FF"/>
          <w:lang w:eastAsia="es-ES"/>
        </w:rPr>
        <w:drawing>
          <wp:inline distT="114300" distB="114300" distL="114300" distR="114300" wp14:anchorId="3C5A9AE9" wp14:editId="07777777">
            <wp:extent cx="297039" cy="29703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039" cy="2970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color w:val="000000"/>
        </w:rPr>
        <w:t xml:space="preserve">  </w:t>
      </w:r>
      <w:r>
        <w:rPr>
          <w:rFonts w:ascii="Roboto" w:eastAsia="Roboto" w:hAnsi="Roboto" w:cs="Roboto"/>
          <w:noProof/>
          <w:color w:val="000000"/>
          <w:lang w:eastAsia="es-ES"/>
        </w:rPr>
        <w:drawing>
          <wp:inline distT="0" distB="0" distL="0" distR="0" wp14:anchorId="372FF3B0" wp14:editId="07777777">
            <wp:extent cx="304800" cy="3048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0B940D" w14:textId="77777777" w:rsidR="00E55B2F" w:rsidRDefault="00E55B2F">
      <w:pPr>
        <w:pBdr>
          <w:bottom w:val="single" w:sz="12" w:space="1" w:color="000000"/>
        </w:pBdr>
        <w:spacing w:after="0" w:line="240" w:lineRule="auto"/>
        <w:jc w:val="both"/>
        <w:rPr>
          <w:rFonts w:ascii="Roboto" w:eastAsia="Roboto" w:hAnsi="Roboto" w:cs="Roboto"/>
          <w:color w:val="000000"/>
        </w:rPr>
      </w:pPr>
    </w:p>
    <w:p w14:paraId="0E27B00A" w14:textId="77777777" w:rsidR="00E55B2F" w:rsidRDefault="00E55B2F">
      <w:pPr>
        <w:spacing w:after="0" w:line="240" w:lineRule="auto"/>
        <w:jc w:val="both"/>
        <w:rPr>
          <w:rFonts w:ascii="Roboto" w:eastAsia="Roboto" w:hAnsi="Roboto" w:cs="Roboto"/>
          <w:color w:val="000000"/>
        </w:rPr>
      </w:pPr>
    </w:p>
    <w:p w14:paraId="70AF4A84" w14:textId="77777777" w:rsidR="00E55B2F" w:rsidRDefault="000E6BDE">
      <w:pPr>
        <w:spacing w:after="0" w:line="240" w:lineRule="auto"/>
        <w:jc w:val="both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</w:rPr>
        <w:t>Para más información sobre la nota de prensa, resolver dudas o gestionar entrevistas</w:t>
      </w:r>
    </w:p>
    <w:p w14:paraId="527B165C" w14:textId="77777777" w:rsidR="00E55B2F" w:rsidRDefault="000E6BDE">
      <w:pPr>
        <w:spacing w:after="0" w:line="240" w:lineRule="auto"/>
        <w:jc w:val="both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</w:rPr>
        <w:t>Eva Martín</w:t>
      </w:r>
    </w:p>
    <w:p w14:paraId="0B05E5D0" w14:textId="77777777" w:rsidR="00E55B2F" w:rsidRDefault="000E6BDE">
      <w:pPr>
        <w:spacing w:after="0" w:line="240" w:lineRule="auto"/>
        <w:jc w:val="both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</w:rPr>
        <w:t xml:space="preserve">Tfno. 628 17 49 01 /  </w:t>
      </w:r>
      <w:hyperlink r:id="rId14">
        <w:r>
          <w:rPr>
            <w:rFonts w:ascii="Roboto" w:eastAsia="Roboto" w:hAnsi="Roboto" w:cs="Roboto"/>
            <w:color w:val="000000"/>
            <w:u w:val="single"/>
          </w:rPr>
          <w:t>evamc@varenga.es</w:t>
        </w:r>
      </w:hyperlink>
    </w:p>
    <w:p w14:paraId="60061E4C" w14:textId="77777777" w:rsidR="00E55B2F" w:rsidRDefault="00E55B2F">
      <w:pPr>
        <w:pBdr>
          <w:top w:val="nil"/>
          <w:left w:val="nil"/>
          <w:bottom w:val="nil"/>
          <w:right w:val="nil"/>
          <w:between w:val="nil"/>
        </w:pBdr>
        <w:spacing w:after="150" w:line="240" w:lineRule="auto"/>
        <w:jc w:val="both"/>
        <w:rPr>
          <w:rFonts w:ascii="Roboto" w:eastAsia="Roboto" w:hAnsi="Roboto" w:cs="Roboto"/>
          <w:color w:val="000000"/>
        </w:rPr>
      </w:pPr>
    </w:p>
    <w:p w14:paraId="44EAFD9C" w14:textId="77777777" w:rsidR="00E55B2F" w:rsidRDefault="00E55B2F">
      <w:pPr>
        <w:pBdr>
          <w:top w:val="nil"/>
          <w:left w:val="nil"/>
          <w:bottom w:val="nil"/>
          <w:right w:val="nil"/>
          <w:between w:val="nil"/>
        </w:pBdr>
        <w:spacing w:after="150" w:line="240" w:lineRule="auto"/>
        <w:jc w:val="both"/>
        <w:rPr>
          <w:rFonts w:ascii="Roboto" w:eastAsia="Roboto" w:hAnsi="Roboto" w:cs="Roboto"/>
          <w:color w:val="000000"/>
        </w:rPr>
      </w:pPr>
    </w:p>
    <w:p w14:paraId="4B94D5A5" w14:textId="77777777" w:rsidR="00E55B2F" w:rsidRDefault="00E55B2F">
      <w:pPr>
        <w:pBdr>
          <w:top w:val="nil"/>
          <w:left w:val="nil"/>
          <w:bottom w:val="nil"/>
          <w:right w:val="nil"/>
          <w:between w:val="nil"/>
        </w:pBdr>
        <w:spacing w:after="150" w:line="240" w:lineRule="auto"/>
        <w:jc w:val="both"/>
        <w:rPr>
          <w:rFonts w:ascii="Roboto" w:eastAsia="Roboto" w:hAnsi="Roboto" w:cs="Roboto"/>
          <w:color w:val="000000"/>
        </w:rPr>
      </w:pPr>
    </w:p>
    <w:p w14:paraId="3DEEC669" w14:textId="77777777" w:rsidR="00E55B2F" w:rsidRDefault="00E55B2F">
      <w:pPr>
        <w:pBdr>
          <w:top w:val="nil"/>
          <w:left w:val="nil"/>
          <w:bottom w:val="nil"/>
          <w:right w:val="nil"/>
          <w:between w:val="nil"/>
        </w:pBdr>
        <w:spacing w:after="150" w:line="240" w:lineRule="auto"/>
        <w:jc w:val="both"/>
        <w:rPr>
          <w:rFonts w:ascii="Roboto" w:eastAsia="Roboto" w:hAnsi="Roboto" w:cs="Roboto"/>
          <w:color w:val="000000"/>
        </w:rPr>
      </w:pPr>
    </w:p>
    <w:sectPr w:rsidR="00E55B2F">
      <w:headerReference w:type="default" r:id="rId15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9737A4" w14:textId="77777777" w:rsidR="00FC7AD6" w:rsidRDefault="00FC7AD6">
      <w:pPr>
        <w:spacing w:after="0" w:line="240" w:lineRule="auto"/>
      </w:pPr>
      <w:r>
        <w:separator/>
      </w:r>
    </w:p>
  </w:endnote>
  <w:endnote w:type="continuationSeparator" w:id="0">
    <w:p w14:paraId="77BA283B" w14:textId="77777777" w:rsidR="00FC7AD6" w:rsidRDefault="00FC7AD6">
      <w:pPr>
        <w:spacing w:after="0" w:line="240" w:lineRule="auto"/>
      </w:pPr>
      <w:r>
        <w:continuationSeparator/>
      </w:r>
    </w:p>
  </w:endnote>
  <w:endnote w:type="continuationNotice" w:id="1">
    <w:p w14:paraId="770C14D7" w14:textId="77777777" w:rsidR="00FC7AD6" w:rsidRDefault="00FC7AD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1F856A3-B2EB-46C4-9DCD-87E61BB92344}"/>
    <w:embedBold r:id="rId2" w:fontKey="{C42ECF16-CD2A-499F-A927-578B794977E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B38B59F-1E06-43FD-8D76-56F7F1A72BB9}"/>
    <w:embedItalic r:id="rId4" w:fontKey="{D80E3949-9B35-4A21-85F9-FB64C1BD064D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28BD33A3-B033-44C0-8EF9-8583632688CF}"/>
    <w:embedBold r:id="rId6" w:fontKey="{4847C1E1-2F0E-466B-953F-72BC53340294}"/>
    <w:embedBoldItalic r:id="rId7" w:fontKey="{9EA4CE36-1719-4B90-94F7-925F9D65583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5581890-2BA9-4305-BE66-C30A8658BF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3238B4" w14:textId="77777777" w:rsidR="00FC7AD6" w:rsidRDefault="00FC7AD6">
      <w:pPr>
        <w:spacing w:after="0" w:line="240" w:lineRule="auto"/>
      </w:pPr>
      <w:r>
        <w:separator/>
      </w:r>
    </w:p>
  </w:footnote>
  <w:footnote w:type="continuationSeparator" w:id="0">
    <w:p w14:paraId="245522C0" w14:textId="77777777" w:rsidR="00FC7AD6" w:rsidRDefault="00FC7AD6">
      <w:pPr>
        <w:spacing w:after="0" w:line="240" w:lineRule="auto"/>
      </w:pPr>
      <w:r>
        <w:continuationSeparator/>
      </w:r>
    </w:p>
  </w:footnote>
  <w:footnote w:type="continuationNotice" w:id="1">
    <w:p w14:paraId="60BAA1FB" w14:textId="77777777" w:rsidR="00FC7AD6" w:rsidRDefault="00FC7AD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F19796" w14:textId="77777777" w:rsidR="00E55B2F" w:rsidRDefault="000E6BDE">
    <w:pPr>
      <w:spacing w:after="0" w:line="240" w:lineRule="auto"/>
      <w:ind w:left="-120"/>
      <w:jc w:val="both"/>
      <w:rPr>
        <w:rFonts w:ascii="Roboto" w:eastAsia="Roboto" w:hAnsi="Roboto" w:cs="Roboto"/>
        <w:b/>
        <w:sz w:val="40"/>
        <w:szCs w:val="40"/>
      </w:rPr>
    </w:pPr>
    <w:r>
      <w:rPr>
        <w:noProof/>
        <w:lang w:eastAsia="es-ES"/>
      </w:rPr>
      <w:drawing>
        <wp:anchor distT="114300" distB="114300" distL="114300" distR="114300" simplePos="0" relativeHeight="251658240" behindDoc="0" locked="0" layoutInCell="1" hidden="0" allowOverlap="1" wp14:anchorId="0FBE8A7F" wp14:editId="07777777">
          <wp:simplePos x="0" y="0"/>
          <wp:positionH relativeFrom="column">
            <wp:posOffset>4371975</wp:posOffset>
          </wp:positionH>
          <wp:positionV relativeFrom="paragraph">
            <wp:posOffset>9533</wp:posOffset>
          </wp:positionV>
          <wp:extent cx="1547842" cy="997267"/>
          <wp:effectExtent l="0" t="0" r="0" b="0"/>
          <wp:wrapSquare wrapText="bothSides" distT="114300" distB="114300" distL="114300" distR="11430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7842" cy="9972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49F31CB" w14:textId="77777777" w:rsidR="00E55B2F" w:rsidRDefault="00E55B2F">
    <w:pPr>
      <w:spacing w:after="0" w:line="240" w:lineRule="auto"/>
      <w:ind w:left="-120"/>
      <w:jc w:val="both"/>
      <w:rPr>
        <w:rFonts w:ascii="Roboto" w:eastAsia="Roboto" w:hAnsi="Roboto" w:cs="Roboto"/>
        <w:b/>
        <w:sz w:val="40"/>
        <w:szCs w:val="40"/>
      </w:rPr>
    </w:pPr>
  </w:p>
  <w:p w14:paraId="12ECC7C7" w14:textId="77777777" w:rsidR="00E55B2F" w:rsidRDefault="000E6BDE">
    <w:pPr>
      <w:spacing w:after="0" w:line="240" w:lineRule="auto"/>
      <w:ind w:left="-120"/>
      <w:jc w:val="both"/>
      <w:rPr>
        <w:rFonts w:ascii="Roboto" w:eastAsia="Roboto" w:hAnsi="Roboto" w:cs="Roboto"/>
      </w:rPr>
    </w:pPr>
    <w:r>
      <w:rPr>
        <w:rFonts w:ascii="Roboto" w:eastAsia="Roboto" w:hAnsi="Roboto" w:cs="Roboto"/>
        <w:b/>
        <w:sz w:val="40"/>
        <w:szCs w:val="40"/>
      </w:rPr>
      <w:t>NOTA DE PRENSA</w:t>
    </w:r>
    <w:r>
      <w:rPr>
        <w:rFonts w:ascii="Roboto" w:eastAsia="Roboto" w:hAnsi="Roboto" w:cs="Roboto"/>
      </w:rPr>
      <w:t xml:space="preserve"> </w:t>
    </w:r>
  </w:p>
  <w:p w14:paraId="53128261" w14:textId="77777777" w:rsidR="00E55B2F" w:rsidRDefault="00E55B2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26F7E0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890984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B2F"/>
    <w:rsid w:val="00034327"/>
    <w:rsid w:val="0005248A"/>
    <w:rsid w:val="000602AC"/>
    <w:rsid w:val="00063559"/>
    <w:rsid w:val="00067B7A"/>
    <w:rsid w:val="000840EE"/>
    <w:rsid w:val="000A6182"/>
    <w:rsid w:val="000C0597"/>
    <w:rsid w:val="000D1ABB"/>
    <w:rsid w:val="000E0BD4"/>
    <w:rsid w:val="000E6BDE"/>
    <w:rsid w:val="000F763E"/>
    <w:rsid w:val="00103C4D"/>
    <w:rsid w:val="00104888"/>
    <w:rsid w:val="001612DD"/>
    <w:rsid w:val="001743EF"/>
    <w:rsid w:val="0019394D"/>
    <w:rsid w:val="001972E1"/>
    <w:rsid w:val="001C3F8F"/>
    <w:rsid w:val="001D34B3"/>
    <w:rsid w:val="001D4282"/>
    <w:rsid w:val="001D5C24"/>
    <w:rsid w:val="001D62AD"/>
    <w:rsid w:val="00222678"/>
    <w:rsid w:val="002537AC"/>
    <w:rsid w:val="00261394"/>
    <w:rsid w:val="00291ACE"/>
    <w:rsid w:val="002A1829"/>
    <w:rsid w:val="002B652E"/>
    <w:rsid w:val="002C15E9"/>
    <w:rsid w:val="002E2955"/>
    <w:rsid w:val="002F6CCF"/>
    <w:rsid w:val="0035588D"/>
    <w:rsid w:val="00361DB6"/>
    <w:rsid w:val="00393372"/>
    <w:rsid w:val="003A5E2D"/>
    <w:rsid w:val="003C7EF8"/>
    <w:rsid w:val="003E0D96"/>
    <w:rsid w:val="004267C6"/>
    <w:rsid w:val="0043507E"/>
    <w:rsid w:val="0044785E"/>
    <w:rsid w:val="0047213D"/>
    <w:rsid w:val="004A623B"/>
    <w:rsid w:val="004E4F27"/>
    <w:rsid w:val="004F4BC3"/>
    <w:rsid w:val="0053075A"/>
    <w:rsid w:val="005637C4"/>
    <w:rsid w:val="0058058E"/>
    <w:rsid w:val="005871FD"/>
    <w:rsid w:val="00587275"/>
    <w:rsid w:val="005D08E3"/>
    <w:rsid w:val="00604E73"/>
    <w:rsid w:val="00646AA8"/>
    <w:rsid w:val="0065613F"/>
    <w:rsid w:val="006613F5"/>
    <w:rsid w:val="006757A5"/>
    <w:rsid w:val="00683DB7"/>
    <w:rsid w:val="006F294E"/>
    <w:rsid w:val="00747144"/>
    <w:rsid w:val="00781465"/>
    <w:rsid w:val="007B1865"/>
    <w:rsid w:val="007E590C"/>
    <w:rsid w:val="00852336"/>
    <w:rsid w:val="00864676"/>
    <w:rsid w:val="008C5E23"/>
    <w:rsid w:val="008D11FC"/>
    <w:rsid w:val="008D1D75"/>
    <w:rsid w:val="008E645C"/>
    <w:rsid w:val="008F1F8D"/>
    <w:rsid w:val="00902A50"/>
    <w:rsid w:val="00921CBA"/>
    <w:rsid w:val="00923A55"/>
    <w:rsid w:val="00935604"/>
    <w:rsid w:val="0096357F"/>
    <w:rsid w:val="00985DD2"/>
    <w:rsid w:val="009A6CFF"/>
    <w:rsid w:val="009C3252"/>
    <w:rsid w:val="009C5333"/>
    <w:rsid w:val="00A24557"/>
    <w:rsid w:val="00A247CA"/>
    <w:rsid w:val="00A446F2"/>
    <w:rsid w:val="00A507C7"/>
    <w:rsid w:val="00A83B4F"/>
    <w:rsid w:val="00B32B2F"/>
    <w:rsid w:val="00B622B0"/>
    <w:rsid w:val="00B66676"/>
    <w:rsid w:val="00BB1D67"/>
    <w:rsid w:val="00BC1F5B"/>
    <w:rsid w:val="00BE0A48"/>
    <w:rsid w:val="00C37871"/>
    <w:rsid w:val="00C72A66"/>
    <w:rsid w:val="00C74D98"/>
    <w:rsid w:val="00C75303"/>
    <w:rsid w:val="00C864B2"/>
    <w:rsid w:val="00CE2AD9"/>
    <w:rsid w:val="00D14D08"/>
    <w:rsid w:val="00D336BE"/>
    <w:rsid w:val="00D52DD7"/>
    <w:rsid w:val="00D66221"/>
    <w:rsid w:val="00DC280B"/>
    <w:rsid w:val="00DC6712"/>
    <w:rsid w:val="00DD6424"/>
    <w:rsid w:val="00DF6DD3"/>
    <w:rsid w:val="00E06048"/>
    <w:rsid w:val="00E31D16"/>
    <w:rsid w:val="00E379B6"/>
    <w:rsid w:val="00E447BB"/>
    <w:rsid w:val="00E55B2F"/>
    <w:rsid w:val="00EE2DBF"/>
    <w:rsid w:val="00EF1928"/>
    <w:rsid w:val="00F55EBB"/>
    <w:rsid w:val="00F92131"/>
    <w:rsid w:val="00FC7AD6"/>
    <w:rsid w:val="00FF6AC2"/>
    <w:rsid w:val="0F37FD44"/>
    <w:rsid w:val="116B9C5B"/>
    <w:rsid w:val="16B101EF"/>
    <w:rsid w:val="1E10367B"/>
    <w:rsid w:val="2427867E"/>
    <w:rsid w:val="2562974D"/>
    <w:rsid w:val="286F435B"/>
    <w:rsid w:val="2B8B6FC4"/>
    <w:rsid w:val="2C131712"/>
    <w:rsid w:val="3A118EED"/>
    <w:rsid w:val="3BDCA0DB"/>
    <w:rsid w:val="540BAC20"/>
    <w:rsid w:val="55C81BBB"/>
    <w:rsid w:val="5C71AF31"/>
    <w:rsid w:val="60A0CD3D"/>
    <w:rsid w:val="63A0B8EF"/>
    <w:rsid w:val="69EC5C36"/>
    <w:rsid w:val="733C8722"/>
    <w:rsid w:val="7E55F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AF724"/>
  <w15:docId w15:val="{702505CA-F102-4F23-895A-A845F2766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n">
    <w:name w:val="Revision"/>
    <w:hidden/>
    <w:uiPriority w:val="99"/>
    <w:semiHidden/>
    <w:rsid w:val="007B1865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semiHidden/>
    <w:unhideWhenUsed/>
    <w:rsid w:val="00291A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91ACE"/>
  </w:style>
  <w:style w:type="paragraph" w:styleId="Piedepgina">
    <w:name w:val="footer"/>
    <w:basedOn w:val="Normal"/>
    <w:link w:val="PiedepginaCar"/>
    <w:uiPriority w:val="99"/>
    <w:semiHidden/>
    <w:unhideWhenUsed/>
    <w:rsid w:val="00291A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91ACE"/>
  </w:style>
  <w:style w:type="character" w:styleId="Refdecomentario">
    <w:name w:val="annotation reference"/>
    <w:basedOn w:val="Fuentedeprrafopredeter"/>
    <w:uiPriority w:val="99"/>
    <w:semiHidden/>
    <w:unhideWhenUsed/>
    <w:rsid w:val="000A618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A618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A618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A618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A6182"/>
    <w:rPr>
      <w:b/>
      <w:bCs/>
      <w:sz w:val="20"/>
      <w:szCs w:val="20"/>
    </w:rPr>
  </w:style>
  <w:style w:type="character" w:styleId="Mencionar">
    <w:name w:val="Mention"/>
    <w:basedOn w:val="Fuentedeprrafopredeter"/>
    <w:uiPriority w:val="99"/>
    <w:unhideWhenUsed/>
    <w:rsid w:val="000A6182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enac.es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www.enac.e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evamc@varenga.es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e290ce1-b2e7-4ccb-948d-a290ef611fa1">
      <Terms xmlns="http://schemas.microsoft.com/office/infopath/2007/PartnerControls"/>
    </lcf76f155ced4ddcb4097134ff3c332f>
    <TaxCatchAll xmlns="909e21e3-a2e2-47ca-be0e-9c3a9bef929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152DE15686E4843A3780C010A78B13A" ma:contentTypeVersion="16" ma:contentTypeDescription="Crear nuevo documento." ma:contentTypeScope="" ma:versionID="23f9a5496e668bb688b97de78c6f6cf9">
  <xsd:schema xmlns:xsd="http://www.w3.org/2001/XMLSchema" xmlns:xs="http://www.w3.org/2001/XMLSchema" xmlns:p="http://schemas.microsoft.com/office/2006/metadata/properties" xmlns:ns2="6e290ce1-b2e7-4ccb-948d-a290ef611fa1" xmlns:ns3="909e21e3-a2e2-47ca-be0e-9c3a9bef9292" targetNamespace="http://schemas.microsoft.com/office/2006/metadata/properties" ma:root="true" ma:fieldsID="17dc88a39ba0aa5236fa82a1cb1aae87" ns2:_="" ns3:_="">
    <xsd:import namespace="6e290ce1-b2e7-4ccb-948d-a290ef611fa1"/>
    <xsd:import namespace="909e21e3-a2e2-47ca-be0e-9c3a9bef92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290ce1-b2e7-4ccb-948d-a290ef611f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45c5079e-b5d9-4f40-8558-acc8d9d79a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9e21e3-a2e2-47ca-be0e-9c3a9bef929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6efcf77-0706-4f8e-b256-a6b4bd8b1840}" ma:internalName="TaxCatchAll" ma:showField="CatchAllData" ma:web="909e21e3-a2e2-47ca-be0e-9c3a9bef92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0965CFD-2AAB-42CF-BF87-A4383E322CB8}">
  <ds:schemaRefs>
    <ds:schemaRef ds:uri="http://schemas.microsoft.com/office/2006/metadata/properties"/>
    <ds:schemaRef ds:uri="http://schemas.microsoft.com/office/infopath/2007/PartnerControls"/>
    <ds:schemaRef ds:uri="6e290ce1-b2e7-4ccb-948d-a290ef611fa1"/>
    <ds:schemaRef ds:uri="909e21e3-a2e2-47ca-be0e-9c3a9bef9292"/>
  </ds:schemaRefs>
</ds:datastoreItem>
</file>

<file path=customXml/itemProps2.xml><?xml version="1.0" encoding="utf-8"?>
<ds:datastoreItem xmlns:ds="http://schemas.openxmlformats.org/officeDocument/2006/customXml" ds:itemID="{545454DD-206F-44DF-AE2B-2B628ADCF1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290ce1-b2e7-4ccb-948d-a290ef611fa1"/>
    <ds:schemaRef ds:uri="909e21e3-a2e2-47ca-be0e-9c3a9bef92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4E2A641-C3F7-4534-90F5-BC1BD4C4BD2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529</Words>
  <Characters>2910</Characters>
  <Application>Microsoft Office Word</Application>
  <DocSecurity>0</DocSecurity>
  <Lines>24</Lines>
  <Paragraphs>6</Paragraphs>
  <ScaleCrop>false</ScaleCrop>
  <Company/>
  <LinksUpToDate>false</LinksUpToDate>
  <CharactersWithSpaces>3433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Diaz Pozo</dc:creator>
  <cp:keywords/>
  <cp:lastModifiedBy>Denise Diaz Pozo</cp:lastModifiedBy>
  <cp:revision>24</cp:revision>
  <dcterms:created xsi:type="dcterms:W3CDTF">2024-03-07T23:34:00Z</dcterms:created>
  <dcterms:modified xsi:type="dcterms:W3CDTF">2024-04-02T06:42:00Z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0x0101009152DE15686E4843A3780C010A78B13A</vt:lpwstr>
  </property>
  <property fmtid="{D5CDD505-2E9C-101B-9397-08002B2CF9AE}" pid="3" name="MediaServiceImageTags">
    <vt:lpwstr/>
  </property>
</Properties>
</file>