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A046F" w:rsidRDefault="002A046F">
      <w:pPr>
        <w:pStyle w:val="Normal3"/>
        <w:jc w:val="center"/>
        <w:rPr>
          <w:rFonts w:ascii="Roboto" w:eastAsia="Roboto" w:hAnsi="Roboto" w:cs="Roboto"/>
          <w:b/>
          <w:sz w:val="34"/>
          <w:szCs w:val="34"/>
        </w:rPr>
      </w:pPr>
    </w:p>
    <w:p w14:paraId="00000002" w14:textId="77777777" w:rsidR="002A046F" w:rsidRDefault="00806891">
      <w:pPr>
        <w:pStyle w:val="Normal3"/>
        <w:jc w:val="center"/>
        <w:rPr>
          <w:rFonts w:ascii="Arial" w:eastAsia="Arial" w:hAnsi="Arial" w:cs="Arial"/>
          <w:b/>
          <w:sz w:val="38"/>
          <w:szCs w:val="38"/>
        </w:rPr>
      </w:pPr>
      <w:r>
        <w:rPr>
          <w:rFonts w:ascii="Arial" w:eastAsia="Arial" w:hAnsi="Arial" w:cs="Arial"/>
          <w:b/>
          <w:sz w:val="38"/>
          <w:szCs w:val="38"/>
        </w:rPr>
        <w:t>La acreditación facilita el libre comercio entre la Unión Europea y Nueva Zelanda</w:t>
      </w:r>
    </w:p>
    <w:p w14:paraId="00000003" w14:textId="77777777" w:rsidR="002A046F" w:rsidRDefault="00806891">
      <w:pPr>
        <w:pStyle w:val="Normal3"/>
        <w:jc w:val="center"/>
        <w:rPr>
          <w:rFonts w:ascii="Arial" w:eastAsia="Arial" w:hAnsi="Arial" w:cs="Arial"/>
          <w:b/>
          <w:sz w:val="38"/>
          <w:szCs w:val="38"/>
        </w:rPr>
      </w:pPr>
      <w:r>
        <w:rPr>
          <w:rFonts w:ascii="Arial" w:eastAsia="Arial" w:hAnsi="Arial" w:cs="Arial"/>
          <w:b/>
          <w:sz w:val="38"/>
          <w:szCs w:val="38"/>
        </w:rPr>
        <w:t xml:space="preserve"> </w:t>
      </w:r>
    </w:p>
    <w:p w14:paraId="00000004" w14:textId="77777777" w:rsidR="002A046F" w:rsidRDefault="00806891">
      <w:pPr>
        <w:pStyle w:val="Normal3"/>
        <w:numPr>
          <w:ilvl w:val="0"/>
          <w:numId w:val="1"/>
        </w:numPr>
        <w:spacing w:after="160"/>
        <w:jc w:val="both"/>
        <w:rPr>
          <w:rFonts w:ascii="Roboto" w:eastAsia="Roboto" w:hAnsi="Roboto" w:cs="Roboto"/>
          <w:b/>
          <w:sz w:val="22"/>
          <w:szCs w:val="22"/>
        </w:rPr>
      </w:pPr>
      <w:r>
        <w:rPr>
          <w:rFonts w:ascii="Roboto" w:eastAsia="Roboto" w:hAnsi="Roboto" w:cs="Roboto"/>
          <w:b/>
          <w:sz w:val="22"/>
          <w:szCs w:val="22"/>
        </w:rPr>
        <w:t>El acuerdo de libre comercio suscrito por ambas partes recomienda el uso de la acreditación y de los acuerdos internacionales de reconocimiento como herramientas para salvar las barreras técnicas al comercio entre ambos mercados</w:t>
      </w:r>
    </w:p>
    <w:p w14:paraId="2113C1D3" w14:textId="021A11A8" w:rsidR="00806891" w:rsidRDefault="00806891" w:rsidP="3333CD73">
      <w:pPr>
        <w:pStyle w:val="Normal3"/>
        <w:numPr>
          <w:ilvl w:val="0"/>
          <w:numId w:val="1"/>
        </w:numPr>
        <w:spacing w:after="160"/>
        <w:jc w:val="both"/>
        <w:rPr>
          <w:rFonts w:ascii="Roboto" w:eastAsia="Roboto" w:hAnsi="Roboto" w:cs="Roboto"/>
          <w:b/>
          <w:bCs/>
          <w:color w:val="222222"/>
          <w:sz w:val="22"/>
          <w:szCs w:val="22"/>
        </w:rPr>
      </w:pPr>
      <w:r w:rsidRPr="3333CD73">
        <w:rPr>
          <w:rFonts w:ascii="Roboto" w:eastAsia="Roboto" w:hAnsi="Roboto" w:cs="Roboto"/>
          <w:b/>
          <w:bCs/>
          <w:sz w:val="22"/>
          <w:szCs w:val="22"/>
          <w:highlight w:val="white"/>
        </w:rPr>
        <w:t xml:space="preserve">El organismo de acreditación español, </w:t>
      </w:r>
      <w:r w:rsidR="04D55093" w:rsidRPr="3333CD73">
        <w:rPr>
          <w:rFonts w:ascii="Roboto" w:eastAsia="Roboto" w:hAnsi="Roboto" w:cs="Roboto"/>
          <w:b/>
          <w:bCs/>
          <w:color w:val="222222"/>
          <w:sz w:val="22"/>
          <w:szCs w:val="22"/>
        </w:rPr>
        <w:t>ENAC es firmante de todos los acuerdos multilaterales existentes a nivel internacional, por lo que sus certificados son reconocidos en más de 120 economías de todo el mundo</w:t>
      </w:r>
    </w:p>
    <w:p w14:paraId="00000006" w14:textId="77777777" w:rsidR="002A046F" w:rsidRDefault="002A046F">
      <w:pPr>
        <w:pStyle w:val="Normal3"/>
        <w:ind w:left="720"/>
        <w:jc w:val="both"/>
        <w:rPr>
          <w:rFonts w:ascii="Roboto" w:eastAsia="Roboto" w:hAnsi="Roboto" w:cs="Roboto"/>
          <w:b/>
          <w:sz w:val="20"/>
          <w:szCs w:val="20"/>
        </w:rPr>
      </w:pPr>
    </w:p>
    <w:p w14:paraId="00000007" w14:textId="5C8FFEBB" w:rsidR="002A046F" w:rsidRDefault="00806891">
      <w:pPr>
        <w:pStyle w:val="Normal3"/>
        <w:jc w:val="both"/>
        <w:rPr>
          <w:rFonts w:ascii="Roboto" w:eastAsia="Roboto" w:hAnsi="Roboto" w:cs="Roboto"/>
          <w:sz w:val="22"/>
          <w:szCs w:val="22"/>
        </w:rPr>
      </w:pPr>
      <w:r w:rsidRPr="3333CD73">
        <w:rPr>
          <w:rFonts w:ascii="Roboto" w:eastAsia="Roboto" w:hAnsi="Roboto" w:cs="Roboto"/>
          <w:sz w:val="22"/>
          <w:szCs w:val="22"/>
        </w:rPr>
        <w:t xml:space="preserve">Madrid, </w:t>
      </w:r>
      <w:r w:rsidR="38E17B20" w:rsidRPr="3333CD73">
        <w:rPr>
          <w:rFonts w:ascii="Roboto" w:eastAsia="Roboto" w:hAnsi="Roboto" w:cs="Roboto"/>
          <w:sz w:val="22"/>
          <w:szCs w:val="22"/>
        </w:rPr>
        <w:t xml:space="preserve">27 </w:t>
      </w:r>
      <w:r w:rsidRPr="3333CD73">
        <w:rPr>
          <w:rFonts w:ascii="Roboto" w:eastAsia="Roboto" w:hAnsi="Roboto" w:cs="Roboto"/>
          <w:sz w:val="22"/>
          <w:szCs w:val="22"/>
        </w:rPr>
        <w:t>de mayo de 2024.- La Unión Europea ha dado luz verde al</w:t>
      </w:r>
      <w:r w:rsidRPr="3333CD73">
        <w:rPr>
          <w:rFonts w:ascii="Roboto" w:eastAsia="Roboto" w:hAnsi="Roboto" w:cs="Roboto"/>
          <w:color w:val="333333"/>
          <w:sz w:val="22"/>
          <w:szCs w:val="22"/>
        </w:rPr>
        <w:t xml:space="preserve"> </w:t>
      </w:r>
      <w:hyperlink r:id="rId11">
        <w:r w:rsidRPr="3333CD73">
          <w:rPr>
            <w:rFonts w:ascii="Roboto" w:eastAsia="Roboto" w:hAnsi="Roboto" w:cs="Roboto"/>
            <w:b/>
            <w:bCs/>
            <w:color w:val="62899C"/>
            <w:sz w:val="22"/>
            <w:szCs w:val="22"/>
            <w:u w:val="single"/>
          </w:rPr>
          <w:t>acuerdo de libre comercio con Nueva Zelanda</w:t>
        </w:r>
      </w:hyperlink>
      <w:r w:rsidRPr="3333CD73">
        <w:rPr>
          <w:rFonts w:ascii="Roboto" w:eastAsia="Roboto" w:hAnsi="Roboto" w:cs="Roboto"/>
          <w:color w:val="333333"/>
          <w:sz w:val="22"/>
          <w:szCs w:val="22"/>
        </w:rPr>
        <w:t xml:space="preserve">, </w:t>
      </w:r>
      <w:r w:rsidRPr="3333CD73">
        <w:rPr>
          <w:rFonts w:ascii="Roboto" w:eastAsia="Roboto" w:hAnsi="Roboto" w:cs="Roboto"/>
          <w:sz w:val="22"/>
          <w:szCs w:val="22"/>
        </w:rPr>
        <w:t>una alianza que facilitará el comercio y la inversión, y promoverá una relación económica más estrecha entre las dos partes, lo que generará importantes oportunidades para las empresas y los consumidores de ambas.</w:t>
      </w:r>
      <w:sdt>
        <w:sdtPr>
          <w:rPr>
            <w:rFonts w:ascii="Roboto" w:eastAsia="Roboto" w:hAnsi="Roboto" w:cs="Roboto"/>
            <w:sz w:val="22"/>
            <w:szCs w:val="22"/>
          </w:rPr>
          <w:tag w:val="goog_rdk_0"/>
          <w:id w:val="1561306976"/>
        </w:sdtPr>
        <w:sdtEndPr/>
        <w:sdtContent>
          <w:r w:rsidRPr="3333CD73">
            <w:rPr>
              <w:rFonts w:ascii="Roboto" w:eastAsia="Roboto" w:hAnsi="Roboto" w:cs="Roboto"/>
              <w:sz w:val="22"/>
              <w:szCs w:val="22"/>
            </w:rPr>
            <w:t xml:space="preserve"> Tras su entrada en vigor a principios de este año, </w:t>
          </w:r>
          <w:r w:rsidR="1833EDB9" w:rsidRPr="3333CD73">
            <w:rPr>
              <w:rFonts w:ascii="Roboto" w:eastAsia="Roboto" w:hAnsi="Roboto" w:cs="Roboto"/>
              <w:sz w:val="22"/>
              <w:szCs w:val="22"/>
            </w:rPr>
            <w:t>l</w:t>
          </w:r>
        </w:sdtContent>
      </w:sdt>
      <w:r w:rsidRPr="3333CD73">
        <w:rPr>
          <w:rFonts w:ascii="Roboto" w:eastAsia="Roboto" w:hAnsi="Roboto" w:cs="Roboto"/>
          <w:sz w:val="22"/>
          <w:szCs w:val="22"/>
        </w:rPr>
        <w:t>a Comisión Europea estima que el comercio bilateral crezca hasta un 30 %, y las exportaciones anuales de la UE aumenten hasta en 4 500 millones de euros.</w:t>
      </w:r>
    </w:p>
    <w:p w14:paraId="00000008" w14:textId="77777777" w:rsidR="002A046F" w:rsidRDefault="002A046F">
      <w:pPr>
        <w:pStyle w:val="Normal3"/>
        <w:jc w:val="both"/>
        <w:rPr>
          <w:rFonts w:ascii="Roboto" w:eastAsia="Roboto" w:hAnsi="Roboto" w:cs="Roboto"/>
          <w:sz w:val="22"/>
          <w:szCs w:val="22"/>
        </w:rPr>
      </w:pPr>
    </w:p>
    <w:p w14:paraId="00000009" w14:textId="77777777" w:rsidR="002A046F" w:rsidRDefault="00806891">
      <w:pPr>
        <w:pStyle w:val="Normal3"/>
        <w:spacing w:after="160"/>
        <w:jc w:val="both"/>
        <w:rPr>
          <w:rFonts w:ascii="Roboto" w:eastAsia="Roboto" w:hAnsi="Roboto" w:cs="Roboto"/>
          <w:sz w:val="22"/>
          <w:szCs w:val="22"/>
        </w:rPr>
      </w:pPr>
      <w:r>
        <w:rPr>
          <w:rFonts w:ascii="Roboto" w:eastAsia="Roboto" w:hAnsi="Roboto" w:cs="Roboto"/>
          <w:sz w:val="22"/>
          <w:szCs w:val="22"/>
        </w:rPr>
        <w:t>Para alcanzar estos objetivos,</w:t>
      </w:r>
      <w:r>
        <w:rPr>
          <w:rFonts w:ascii="Roboto" w:eastAsia="Roboto" w:hAnsi="Roboto" w:cs="Roboto"/>
          <w:b/>
          <w:sz w:val="22"/>
          <w:szCs w:val="22"/>
        </w:rPr>
        <w:t xml:space="preserve"> el acuerdo bilateral recomienda el uso de la acreditación y los acuerdos internacionales reconocimiento de los organismos de acreditación como herramientas para salvar las barreras técnicas al comercio</w:t>
      </w:r>
      <w:r>
        <w:rPr>
          <w:rFonts w:ascii="Roboto" w:eastAsia="Roboto" w:hAnsi="Roboto" w:cs="Roboto"/>
          <w:sz w:val="22"/>
          <w:szCs w:val="22"/>
        </w:rPr>
        <w:t xml:space="preserve"> entre ambos mercados:</w:t>
      </w:r>
    </w:p>
    <w:p w14:paraId="0000000A" w14:textId="77777777" w:rsidR="002A046F" w:rsidRDefault="00806891">
      <w:pPr>
        <w:pStyle w:val="Normal3"/>
        <w:spacing w:after="160"/>
        <w:jc w:val="both"/>
        <w:rPr>
          <w:rFonts w:ascii="Roboto" w:eastAsia="Roboto" w:hAnsi="Roboto" w:cs="Roboto"/>
          <w:i/>
          <w:sz w:val="22"/>
          <w:szCs w:val="22"/>
        </w:rPr>
      </w:pPr>
      <w:r>
        <w:rPr>
          <w:rFonts w:ascii="Roboto" w:eastAsia="Roboto" w:hAnsi="Roboto" w:cs="Roboto"/>
          <w:i/>
          <w:sz w:val="22"/>
          <w:szCs w:val="22"/>
        </w:rPr>
        <w:t>“Cuando una de las partes exija una evaluación de la conformidad por terceros como garantía positiva de que un producto se ajusta a un reglamento técnico, y no haya reservado esta tarea a una autoridad gubernamental:</w:t>
      </w:r>
    </w:p>
    <w:p w14:paraId="0000000B" w14:textId="77777777" w:rsidR="002A046F" w:rsidRDefault="00806891">
      <w:pPr>
        <w:pStyle w:val="Normal3"/>
        <w:spacing w:after="160"/>
        <w:ind w:left="600"/>
        <w:jc w:val="both"/>
        <w:rPr>
          <w:rFonts w:ascii="Roboto" w:eastAsia="Roboto" w:hAnsi="Roboto" w:cs="Roboto"/>
          <w:i/>
          <w:sz w:val="22"/>
          <w:szCs w:val="22"/>
        </w:rPr>
      </w:pPr>
      <w:r>
        <w:rPr>
          <w:rFonts w:ascii="Roboto" w:eastAsia="Roboto" w:hAnsi="Roboto" w:cs="Roboto"/>
          <w:i/>
          <w:sz w:val="22"/>
          <w:szCs w:val="22"/>
        </w:rPr>
        <w:t>a) dará preferencia al uso de procedimientos de acreditación para cualificar los organismos de evaluación de la conformidad;</w:t>
      </w:r>
    </w:p>
    <w:p w14:paraId="0000000C" w14:textId="77777777" w:rsidR="002A046F" w:rsidRDefault="00806891">
      <w:pPr>
        <w:pStyle w:val="Normal3"/>
        <w:spacing w:after="160"/>
        <w:ind w:left="600"/>
        <w:jc w:val="both"/>
        <w:rPr>
          <w:rFonts w:ascii="Roboto" w:eastAsia="Roboto" w:hAnsi="Roboto" w:cs="Roboto"/>
          <w:i/>
          <w:sz w:val="22"/>
          <w:szCs w:val="22"/>
        </w:rPr>
      </w:pPr>
      <w:r>
        <w:rPr>
          <w:rFonts w:ascii="Roboto" w:eastAsia="Roboto" w:hAnsi="Roboto" w:cs="Roboto"/>
          <w:i/>
          <w:sz w:val="22"/>
          <w:szCs w:val="22"/>
        </w:rPr>
        <w:t>b) utilizará las normas internacionales para la acreditación y la evaluación de la conformidad;</w:t>
      </w:r>
    </w:p>
    <w:p w14:paraId="0000000D" w14:textId="77777777" w:rsidR="002A046F" w:rsidRDefault="00806891">
      <w:pPr>
        <w:pStyle w:val="Normal3"/>
        <w:spacing w:after="160"/>
        <w:ind w:left="600"/>
        <w:jc w:val="both"/>
        <w:rPr>
          <w:rFonts w:ascii="Roboto" w:eastAsia="Roboto" w:hAnsi="Roboto" w:cs="Roboto"/>
          <w:i/>
          <w:sz w:val="22"/>
          <w:szCs w:val="22"/>
        </w:rPr>
      </w:pPr>
      <w:r w:rsidRPr="3333CD73">
        <w:rPr>
          <w:rFonts w:ascii="Roboto" w:eastAsia="Roboto" w:hAnsi="Roboto" w:cs="Roboto"/>
          <w:i/>
          <w:iCs/>
          <w:sz w:val="22"/>
          <w:szCs w:val="22"/>
        </w:rPr>
        <w:t>c) cuando sea posible, utilizará acuerdos internacionales que afectan a los organismos de acreditación de las Partes, por ejemplo, a través de los mecanismos de la Cooperación Internacional de Acreditación de Laboratorios (ILAC) y del Foro Internacional de Acreditación (IAF)”.</w:t>
      </w:r>
    </w:p>
    <w:p w14:paraId="5B0BAB39" w14:textId="330AA6FA" w:rsidR="3333CD73" w:rsidRDefault="3333CD73" w:rsidP="3333CD73">
      <w:pPr>
        <w:pStyle w:val="Normal3"/>
        <w:spacing w:after="160"/>
        <w:jc w:val="both"/>
        <w:rPr>
          <w:rFonts w:ascii="Roboto" w:eastAsia="Roboto" w:hAnsi="Roboto" w:cs="Roboto"/>
          <w:sz w:val="22"/>
          <w:szCs w:val="22"/>
        </w:rPr>
      </w:pPr>
    </w:p>
    <w:p w14:paraId="0000000F" w14:textId="77777777" w:rsidR="002A046F" w:rsidRDefault="00806891">
      <w:pPr>
        <w:pStyle w:val="Normal3"/>
        <w:spacing w:after="160"/>
        <w:jc w:val="both"/>
        <w:rPr>
          <w:rFonts w:ascii="Roboto" w:eastAsia="Roboto" w:hAnsi="Roboto" w:cs="Roboto"/>
          <w:sz w:val="22"/>
          <w:szCs w:val="22"/>
        </w:rPr>
      </w:pPr>
      <w:r w:rsidRPr="3333CD73">
        <w:rPr>
          <w:rFonts w:ascii="Roboto" w:eastAsia="Roboto" w:hAnsi="Roboto" w:cs="Roboto"/>
          <w:sz w:val="22"/>
          <w:szCs w:val="22"/>
        </w:rPr>
        <w:t>Este nuevo reconocimiento ratifica una vez más e</w:t>
      </w:r>
      <w:r w:rsidRPr="3333CD73">
        <w:rPr>
          <w:rFonts w:ascii="Roboto" w:eastAsia="Roboto" w:hAnsi="Roboto" w:cs="Roboto"/>
          <w:b/>
          <w:bCs/>
          <w:sz w:val="22"/>
          <w:szCs w:val="22"/>
        </w:rPr>
        <w:t>l valor de la acreditación para abrirse paso en los mercados exteriores, ayudando a reducir o eliminar este tipo de obstáculos</w:t>
      </w:r>
      <w:r w:rsidRPr="3333CD73">
        <w:rPr>
          <w:rFonts w:ascii="Roboto" w:eastAsia="Roboto" w:hAnsi="Roboto" w:cs="Roboto"/>
          <w:sz w:val="22"/>
          <w:szCs w:val="22"/>
        </w:rPr>
        <w:t>, gracias al reconocimiento internacional con el que cuenta.</w:t>
      </w:r>
    </w:p>
    <w:p w14:paraId="64A586F5" w14:textId="77777777" w:rsidR="00275431" w:rsidRDefault="00275431" w:rsidP="3333CD73">
      <w:pPr>
        <w:shd w:val="clear" w:color="auto" w:fill="FFFFFF" w:themeFill="background1"/>
        <w:jc w:val="both"/>
        <w:rPr>
          <w:rFonts w:ascii="Roboto" w:eastAsia="Roboto" w:hAnsi="Roboto" w:cs="Roboto"/>
          <w:b/>
          <w:bCs/>
          <w:color w:val="222222"/>
          <w:sz w:val="22"/>
          <w:szCs w:val="22"/>
        </w:rPr>
      </w:pPr>
    </w:p>
    <w:p w14:paraId="0BC052A7" w14:textId="77777777" w:rsidR="00275431" w:rsidRDefault="00275431" w:rsidP="3333CD73">
      <w:pPr>
        <w:shd w:val="clear" w:color="auto" w:fill="FFFFFF" w:themeFill="background1"/>
        <w:jc w:val="both"/>
        <w:rPr>
          <w:rFonts w:ascii="Roboto" w:eastAsia="Roboto" w:hAnsi="Roboto" w:cs="Roboto"/>
          <w:b/>
          <w:bCs/>
          <w:color w:val="222222"/>
          <w:sz w:val="22"/>
          <w:szCs w:val="22"/>
        </w:rPr>
      </w:pPr>
    </w:p>
    <w:p w14:paraId="766EAB4A" w14:textId="77777777" w:rsidR="00275431" w:rsidRDefault="00275431" w:rsidP="3333CD73">
      <w:pPr>
        <w:shd w:val="clear" w:color="auto" w:fill="FFFFFF" w:themeFill="background1"/>
        <w:jc w:val="both"/>
        <w:rPr>
          <w:rFonts w:ascii="Roboto" w:eastAsia="Roboto" w:hAnsi="Roboto" w:cs="Roboto"/>
          <w:b/>
          <w:bCs/>
          <w:color w:val="222222"/>
          <w:sz w:val="22"/>
          <w:szCs w:val="22"/>
        </w:rPr>
      </w:pPr>
    </w:p>
    <w:p w14:paraId="4D43B164" w14:textId="77777777" w:rsidR="00275431" w:rsidRDefault="00275431" w:rsidP="3333CD73">
      <w:pPr>
        <w:shd w:val="clear" w:color="auto" w:fill="FFFFFF" w:themeFill="background1"/>
        <w:jc w:val="both"/>
        <w:rPr>
          <w:rFonts w:ascii="Roboto" w:eastAsia="Roboto" w:hAnsi="Roboto" w:cs="Roboto"/>
          <w:b/>
          <w:bCs/>
          <w:color w:val="222222"/>
          <w:sz w:val="22"/>
          <w:szCs w:val="22"/>
        </w:rPr>
      </w:pPr>
    </w:p>
    <w:p w14:paraId="4C16F424" w14:textId="77777777" w:rsidR="00275431" w:rsidRDefault="00275431" w:rsidP="3333CD73">
      <w:pPr>
        <w:shd w:val="clear" w:color="auto" w:fill="FFFFFF" w:themeFill="background1"/>
        <w:jc w:val="both"/>
        <w:rPr>
          <w:rFonts w:ascii="Roboto" w:eastAsia="Roboto" w:hAnsi="Roboto" w:cs="Roboto"/>
          <w:b/>
          <w:bCs/>
          <w:color w:val="222222"/>
          <w:sz w:val="22"/>
          <w:szCs w:val="22"/>
        </w:rPr>
      </w:pPr>
    </w:p>
    <w:p w14:paraId="327EA89D" w14:textId="38F93946" w:rsidR="5E93DB75" w:rsidRDefault="5E93DB75" w:rsidP="3333CD73">
      <w:pPr>
        <w:shd w:val="clear" w:color="auto" w:fill="FFFFFF" w:themeFill="background1"/>
        <w:jc w:val="both"/>
        <w:rPr>
          <w:rFonts w:ascii="Roboto" w:eastAsia="Roboto" w:hAnsi="Roboto" w:cs="Roboto"/>
          <w:b/>
          <w:bCs/>
          <w:color w:val="222222"/>
          <w:sz w:val="22"/>
          <w:szCs w:val="22"/>
        </w:rPr>
      </w:pPr>
      <w:r w:rsidRPr="3333CD73">
        <w:rPr>
          <w:rFonts w:ascii="Roboto" w:eastAsia="Roboto" w:hAnsi="Roboto" w:cs="Roboto"/>
          <w:b/>
          <w:bCs/>
          <w:color w:val="222222"/>
          <w:sz w:val="22"/>
          <w:szCs w:val="22"/>
        </w:rPr>
        <w:t>La acreditación de ENAC abre fronteras en más de 120 economías</w:t>
      </w:r>
    </w:p>
    <w:p w14:paraId="304A97F0" w14:textId="5A57945C" w:rsidR="3333CD73" w:rsidRDefault="3333CD73" w:rsidP="3333CD73">
      <w:pPr>
        <w:shd w:val="clear" w:color="auto" w:fill="FFFFFF" w:themeFill="background1"/>
        <w:jc w:val="both"/>
        <w:rPr>
          <w:rFonts w:ascii="Roboto" w:eastAsia="Roboto" w:hAnsi="Roboto" w:cs="Roboto"/>
          <w:b/>
          <w:bCs/>
          <w:color w:val="222222"/>
          <w:sz w:val="22"/>
          <w:szCs w:val="22"/>
        </w:rPr>
      </w:pPr>
    </w:p>
    <w:p w14:paraId="2077B93A" w14:textId="4AD40896" w:rsidR="5E93DB75" w:rsidRDefault="5E93DB75" w:rsidP="3333CD73">
      <w:pPr>
        <w:shd w:val="clear" w:color="auto" w:fill="FFFFFF" w:themeFill="background1"/>
        <w:jc w:val="both"/>
        <w:rPr>
          <w:rFonts w:ascii="Roboto" w:eastAsia="Roboto" w:hAnsi="Roboto" w:cs="Roboto"/>
          <w:color w:val="222222"/>
          <w:sz w:val="22"/>
          <w:szCs w:val="22"/>
        </w:rPr>
      </w:pPr>
      <w:r w:rsidRPr="3333CD73">
        <w:rPr>
          <w:rFonts w:ascii="Roboto" w:eastAsia="Roboto" w:hAnsi="Roboto" w:cs="Roboto"/>
          <w:color w:val="222222"/>
          <w:sz w:val="22"/>
          <w:szCs w:val="22"/>
        </w:rPr>
        <w:t>Para favorecer el mercado internacional y aportar confianza en los productos y servicios comercializados a través de las fronteras, los organismos de acreditación, como ENAC</w:t>
      </w:r>
      <w:r w:rsidR="3C1BE2DF" w:rsidRPr="3333CD73">
        <w:rPr>
          <w:rFonts w:ascii="Roboto" w:eastAsia="Roboto" w:hAnsi="Roboto" w:cs="Roboto"/>
          <w:color w:val="222222"/>
          <w:sz w:val="22"/>
          <w:szCs w:val="22"/>
        </w:rPr>
        <w:t xml:space="preserve">, la </w:t>
      </w:r>
      <w:hyperlink r:id="rId12">
        <w:r w:rsidRPr="3333CD73">
          <w:rPr>
            <w:rStyle w:val="Hipervnculo"/>
            <w:rFonts w:ascii="Roboto" w:eastAsia="Roboto" w:hAnsi="Roboto" w:cs="Roboto"/>
            <w:sz w:val="22"/>
            <w:szCs w:val="22"/>
          </w:rPr>
          <w:t>Entidad Nacional de Acreditación</w:t>
        </w:r>
      </w:hyperlink>
      <w:r w:rsidRPr="3333CD73">
        <w:rPr>
          <w:rFonts w:ascii="Roboto" w:eastAsia="Roboto" w:hAnsi="Roboto" w:cs="Roboto"/>
          <w:color w:val="222222"/>
          <w:sz w:val="22"/>
          <w:szCs w:val="22"/>
        </w:rPr>
        <w:t>, están integrados en un sistema global operado por organismos internacionales, los cuales han establecido acuerdos multilaterales de reconocimiento mutuo entre los organismos de acreditación con el objetivo de que las declaraciones de cumplimiento de los requisitos técnicos exigidos a las exportaciones e importaciones puedan ser aceptadas en todo el mundo. ENAC es firmante de todos los acuerdos multilaterales existentes a nivel internacional, por lo que sus certificados son reconocidos en más de 120 economías de todo el mundo.</w:t>
      </w:r>
    </w:p>
    <w:p w14:paraId="00000013" w14:textId="77777777" w:rsidR="002A046F" w:rsidRDefault="002A046F">
      <w:pPr>
        <w:pStyle w:val="Normal3"/>
        <w:jc w:val="both"/>
        <w:rPr>
          <w:rFonts w:ascii="Roboto" w:eastAsia="Roboto" w:hAnsi="Roboto" w:cs="Roboto"/>
          <w:sz w:val="22"/>
          <w:szCs w:val="22"/>
        </w:rPr>
      </w:pPr>
    </w:p>
    <w:p w14:paraId="00000014" w14:textId="77777777" w:rsidR="002A046F" w:rsidRDefault="00806891">
      <w:pPr>
        <w:pStyle w:val="Normal3"/>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00000015" w14:textId="77777777" w:rsidR="002A046F" w:rsidRDefault="002A046F">
      <w:pPr>
        <w:pStyle w:val="Normal3"/>
        <w:jc w:val="both"/>
        <w:rPr>
          <w:rFonts w:ascii="Roboto" w:eastAsia="Roboto" w:hAnsi="Roboto" w:cs="Roboto"/>
          <w:b/>
          <w:color w:val="E83544"/>
          <w:sz w:val="22"/>
          <w:szCs w:val="22"/>
        </w:rPr>
      </w:pPr>
    </w:p>
    <w:p w14:paraId="00000016"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00000017" w14:textId="77777777" w:rsidR="002A046F" w:rsidRDefault="002A046F">
      <w:pPr>
        <w:pStyle w:val="Normal3"/>
        <w:jc w:val="both"/>
        <w:rPr>
          <w:rFonts w:ascii="Roboto" w:eastAsia="Roboto" w:hAnsi="Roboto" w:cs="Roboto"/>
          <w:sz w:val="22"/>
          <w:szCs w:val="22"/>
        </w:rPr>
      </w:pPr>
    </w:p>
    <w:p w14:paraId="00000018"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19"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 </w:t>
      </w:r>
    </w:p>
    <w:p w14:paraId="0000001A"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w:t>
      </w:r>
    </w:p>
    <w:p w14:paraId="0000001B" w14:textId="77777777" w:rsidR="002A046F" w:rsidRDefault="002A046F">
      <w:pPr>
        <w:pStyle w:val="Normal3"/>
        <w:jc w:val="both"/>
        <w:rPr>
          <w:rFonts w:ascii="Roboto" w:eastAsia="Roboto" w:hAnsi="Roboto" w:cs="Roboto"/>
          <w:sz w:val="22"/>
          <w:szCs w:val="22"/>
        </w:rPr>
      </w:pPr>
    </w:p>
    <w:p w14:paraId="0000001C" w14:textId="77777777" w:rsidR="002A046F" w:rsidRDefault="00275431">
      <w:pPr>
        <w:pStyle w:val="Normal3"/>
        <w:pBdr>
          <w:bottom w:val="single" w:sz="12" w:space="1" w:color="000000"/>
        </w:pBdr>
        <w:jc w:val="both"/>
        <w:rPr>
          <w:rFonts w:ascii="Roboto" w:eastAsia="Roboto" w:hAnsi="Roboto" w:cs="Roboto"/>
          <w:color w:val="E83544"/>
          <w:sz w:val="22"/>
          <w:szCs w:val="22"/>
        </w:rPr>
      </w:pPr>
      <w:hyperlink r:id="rId13">
        <w:r w:rsidR="00806891">
          <w:rPr>
            <w:rFonts w:ascii="Roboto" w:eastAsia="Roboto" w:hAnsi="Roboto" w:cs="Roboto"/>
            <w:color w:val="E83544"/>
            <w:sz w:val="22"/>
            <w:szCs w:val="22"/>
            <w:u w:val="single"/>
          </w:rPr>
          <w:t>www.enac.es</w:t>
        </w:r>
      </w:hyperlink>
      <w:r w:rsidR="00806891">
        <w:rPr>
          <w:rFonts w:ascii="Roboto" w:eastAsia="Roboto" w:hAnsi="Roboto" w:cs="Roboto"/>
          <w:color w:val="E83544"/>
          <w:sz w:val="22"/>
          <w:szCs w:val="22"/>
        </w:rPr>
        <w:t xml:space="preserve"> </w:t>
      </w:r>
    </w:p>
    <w:p w14:paraId="0000001D" w14:textId="77777777" w:rsidR="002A046F" w:rsidRDefault="002A046F">
      <w:pPr>
        <w:pStyle w:val="Normal3"/>
        <w:pBdr>
          <w:bottom w:val="single" w:sz="12" w:space="1" w:color="000000"/>
        </w:pBdr>
        <w:jc w:val="both"/>
        <w:rPr>
          <w:rFonts w:ascii="Roboto" w:eastAsia="Roboto" w:hAnsi="Roboto" w:cs="Roboto"/>
          <w:color w:val="E83544"/>
          <w:sz w:val="22"/>
          <w:szCs w:val="22"/>
        </w:rPr>
      </w:pPr>
    </w:p>
    <w:p w14:paraId="0000001E" w14:textId="77777777" w:rsidR="002A046F" w:rsidRDefault="00806891">
      <w:pPr>
        <w:pStyle w:val="Normal3"/>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3F0D7D31" wp14:editId="07777777">
            <wp:extent cx="309284" cy="309284"/>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9284" cy="309284"/>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6E8818A8" wp14:editId="07777777">
            <wp:extent cx="304800" cy="3048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14:paraId="0000001F" w14:textId="77777777" w:rsidR="002A046F" w:rsidRDefault="002A046F">
      <w:pPr>
        <w:pStyle w:val="Normal3"/>
        <w:pBdr>
          <w:bottom w:val="single" w:sz="12" w:space="1" w:color="000000"/>
        </w:pBdr>
        <w:jc w:val="both"/>
        <w:rPr>
          <w:rFonts w:ascii="Roboto" w:eastAsia="Roboto" w:hAnsi="Roboto" w:cs="Roboto"/>
          <w:color w:val="E83544"/>
          <w:sz w:val="22"/>
          <w:szCs w:val="22"/>
        </w:rPr>
      </w:pPr>
    </w:p>
    <w:p w14:paraId="00000020" w14:textId="77777777" w:rsidR="002A046F" w:rsidRDefault="002A046F">
      <w:pPr>
        <w:pStyle w:val="Normal3"/>
        <w:jc w:val="both"/>
        <w:rPr>
          <w:rFonts w:ascii="Roboto" w:eastAsia="Roboto" w:hAnsi="Roboto" w:cs="Roboto"/>
          <w:color w:val="E83544"/>
          <w:sz w:val="22"/>
          <w:szCs w:val="22"/>
        </w:rPr>
      </w:pPr>
    </w:p>
    <w:p w14:paraId="00000021" w14:textId="77777777" w:rsidR="002A046F" w:rsidRDefault="002A046F">
      <w:pPr>
        <w:pStyle w:val="Normal3"/>
        <w:jc w:val="both"/>
        <w:rPr>
          <w:rFonts w:ascii="Roboto" w:eastAsia="Roboto" w:hAnsi="Roboto" w:cs="Roboto"/>
          <w:sz w:val="22"/>
          <w:szCs w:val="22"/>
        </w:rPr>
      </w:pPr>
    </w:p>
    <w:p w14:paraId="00000022" w14:textId="77777777" w:rsidR="002A046F" w:rsidRDefault="002A046F">
      <w:pPr>
        <w:pStyle w:val="Normal3"/>
        <w:jc w:val="both"/>
        <w:rPr>
          <w:rFonts w:ascii="Roboto" w:eastAsia="Roboto" w:hAnsi="Roboto" w:cs="Roboto"/>
          <w:sz w:val="22"/>
          <w:szCs w:val="22"/>
        </w:rPr>
      </w:pPr>
    </w:p>
    <w:p w14:paraId="00000023"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24"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Eva Martín</w:t>
      </w:r>
    </w:p>
    <w:p w14:paraId="00000025" w14:textId="77777777" w:rsidR="002A046F" w:rsidRDefault="00806891">
      <w:pPr>
        <w:pStyle w:val="Normal3"/>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6">
        <w:r>
          <w:rPr>
            <w:rFonts w:ascii="Roboto" w:eastAsia="Roboto" w:hAnsi="Roboto" w:cs="Roboto"/>
            <w:color w:val="E83544"/>
            <w:sz w:val="22"/>
            <w:szCs w:val="22"/>
            <w:u w:val="single"/>
          </w:rPr>
          <w:t>evamc@varenga.es</w:t>
        </w:r>
      </w:hyperlink>
    </w:p>
    <w:p w14:paraId="00000029" w14:textId="77777777" w:rsidR="002A046F" w:rsidRDefault="002A046F">
      <w:pPr>
        <w:pStyle w:val="Normal3"/>
        <w:pBdr>
          <w:top w:val="nil"/>
          <w:left w:val="nil"/>
          <w:bottom w:val="nil"/>
          <w:right w:val="nil"/>
          <w:between w:val="nil"/>
        </w:pBdr>
        <w:rPr>
          <w:rFonts w:ascii="Calibri" w:eastAsia="Calibri" w:hAnsi="Calibri" w:cs="Calibri"/>
          <w:highlight w:val="white"/>
        </w:rPr>
      </w:pPr>
    </w:p>
    <w:sectPr w:rsidR="002A046F">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937D6" w14:textId="77777777" w:rsidR="00806891" w:rsidRDefault="00806891">
      <w:r>
        <w:separator/>
      </w:r>
    </w:p>
  </w:endnote>
  <w:endnote w:type="continuationSeparator" w:id="0">
    <w:p w14:paraId="3B68D38D" w14:textId="77777777" w:rsidR="00806891" w:rsidRDefault="00806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B31521BD-B3D7-4940-9B5E-BACEDC72F5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3A84245-4737-4972-9E92-EE247C4FD3F8}"/>
    <w:embedItalic r:id="rId3" w:fontKey="{3CB9EC94-1154-4997-BDFC-64777214CCED}"/>
  </w:font>
  <w:font w:name="Roboto">
    <w:charset w:val="00"/>
    <w:family w:val="auto"/>
    <w:pitch w:val="variable"/>
    <w:sig w:usb0="E0000AFF" w:usb1="5000217F" w:usb2="00000021" w:usb3="00000000" w:csb0="0000019F" w:csb1="00000000"/>
    <w:embedRegular r:id="rId4" w:fontKey="{2E8AF349-7EDC-43C1-9C0B-90BF66DFBBEA}"/>
    <w:embedBold r:id="rId5" w:fontKey="{39D8AC03-66C9-4B4B-A871-B9AF33E0D881}"/>
    <w:embedItalic r:id="rId6" w:fontKey="{A963A86C-C05F-4BD2-BD99-DB2909D2F4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BC0A0D9-AE66-4EDC-955B-6E40D6965C5D}"/>
    <w:embedBold r:id="rId8" w:fontKey="{F21E6E24-B09F-4717-9B07-E60C5BADDBB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2D3193F1-6DBE-4C7F-9FC3-7DEB57148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1" w14:textId="77777777" w:rsidR="002A046F" w:rsidRDefault="002A046F">
    <w:pPr>
      <w:pStyle w:val="Normal3"/>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17384ED8" w:rsidR="002A046F" w:rsidRDefault="00806891">
    <w:pPr>
      <w:pStyle w:val="Normal3"/>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275431">
      <w:rPr>
        <w:color w:val="000000"/>
      </w:rPr>
      <w:fldChar w:fldCharType="separate"/>
    </w:r>
    <w:r w:rsidR="00275431">
      <w:rPr>
        <w:noProof/>
        <w:color w:val="000000"/>
      </w:rPr>
      <w:t>1</w:t>
    </w:r>
    <w:r>
      <w:rPr>
        <w:color w:val="000000"/>
      </w:rPr>
      <w:fldChar w:fldCharType="end"/>
    </w:r>
  </w:p>
  <w:p w14:paraId="00000030" w14:textId="77777777" w:rsidR="002A046F" w:rsidRDefault="002A046F">
    <w:pPr>
      <w:pStyle w:val="Normal3"/>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2A046F" w:rsidRDefault="002A046F">
    <w:pPr>
      <w:pStyle w:val="Normal3"/>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2FE52" w14:textId="77777777" w:rsidR="00806891" w:rsidRDefault="00806891">
      <w:r>
        <w:separator/>
      </w:r>
    </w:p>
  </w:footnote>
  <w:footnote w:type="continuationSeparator" w:id="0">
    <w:p w14:paraId="20D0E654" w14:textId="77777777" w:rsidR="00806891" w:rsidRDefault="00806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2A046F" w:rsidRDefault="002A046F">
    <w:pPr>
      <w:pStyle w:val="Normal3"/>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B" w14:textId="77777777" w:rsidR="002A046F" w:rsidRDefault="00806891">
    <w:pPr>
      <w:pStyle w:val="Normal3"/>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3A5314B4" wp14:editId="07777777">
          <wp:simplePos x="0" y="0"/>
          <wp:positionH relativeFrom="column">
            <wp:posOffset>4114800</wp:posOffset>
          </wp:positionH>
          <wp:positionV relativeFrom="paragraph">
            <wp:posOffset>-304779</wp:posOffset>
          </wp:positionV>
          <wp:extent cx="1547842" cy="997267"/>
          <wp:effectExtent l="0" t="0" r="0" b="0"/>
          <wp:wrapSquare wrapText="bothSides" distT="114300" distB="114300" distL="114300" distR="114300"/>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000002C" w14:textId="77777777" w:rsidR="002A046F" w:rsidRDefault="00806891">
    <w:pPr>
      <w:pStyle w:val="Normal3"/>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0000002D" w14:textId="77777777" w:rsidR="002A046F" w:rsidRDefault="002A046F">
    <w:pPr>
      <w:pStyle w:val="Normal3"/>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2A046F" w:rsidRDefault="002A046F">
    <w:pPr>
      <w:pStyle w:val="Normal3"/>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D30D2"/>
    <w:multiLevelType w:val="multilevel"/>
    <w:tmpl w:val="FFFFFFFF"/>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158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46F"/>
    <w:rsid w:val="00275431"/>
    <w:rsid w:val="002A046F"/>
    <w:rsid w:val="002E2A7B"/>
    <w:rsid w:val="006B4AFC"/>
    <w:rsid w:val="00806891"/>
    <w:rsid w:val="04D55093"/>
    <w:rsid w:val="0F255AD2"/>
    <w:rsid w:val="1310A15A"/>
    <w:rsid w:val="144366EF"/>
    <w:rsid w:val="15DF3750"/>
    <w:rsid w:val="1833EDB9"/>
    <w:rsid w:val="1C355077"/>
    <w:rsid w:val="3333CD73"/>
    <w:rsid w:val="38E17B20"/>
    <w:rsid w:val="3C1BE2DF"/>
    <w:rsid w:val="5E93DB75"/>
    <w:rsid w:val="6B7C8FF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77A5"/>
  <w15:docId w15:val="{173CE5D1-BE53-4567-9649-856CB713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rPr>
  </w:style>
  <w:style w:type="paragraph" w:customStyle="1" w:styleId="heading51">
    <w:name w:val="heading 51"/>
    <w:basedOn w:val="Normal1"/>
    <w:next w:val="Normal1"/>
    <w:pPr>
      <w:keepNext/>
      <w:keepLines/>
      <w:spacing w:before="220" w:after="40"/>
    </w:pPr>
    <w:rPr>
      <w:b/>
      <w:sz w:val="22"/>
      <w:szCs w:val="22"/>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rPr>
      <w:b/>
      <w:sz w:val="48"/>
      <w:szCs w:val="48"/>
    </w:rPr>
  </w:style>
  <w:style w:type="paragraph" w:customStyle="1" w:styleId="heading22">
    <w:name w:val="heading 22"/>
    <w:basedOn w:val="Normal2"/>
    <w:next w:val="Normal2"/>
    <w:pPr>
      <w:keepNext/>
      <w:keepLines/>
      <w:spacing w:before="360" w:after="80"/>
    </w:pPr>
    <w:rPr>
      <w:b/>
      <w:sz w:val="36"/>
      <w:szCs w:val="36"/>
    </w:rPr>
  </w:style>
  <w:style w:type="paragraph" w:customStyle="1" w:styleId="heading32">
    <w:name w:val="heading 32"/>
    <w:basedOn w:val="Normal2"/>
    <w:next w:val="Normal2"/>
    <w:pPr>
      <w:keepNext/>
      <w:keepLines/>
      <w:spacing w:before="280" w:after="80"/>
    </w:pPr>
    <w:rPr>
      <w:b/>
      <w:sz w:val="28"/>
      <w:szCs w:val="28"/>
    </w:rPr>
  </w:style>
  <w:style w:type="paragraph" w:customStyle="1" w:styleId="heading42">
    <w:name w:val="heading 42"/>
    <w:basedOn w:val="Normal2"/>
    <w:next w:val="Normal2"/>
    <w:pPr>
      <w:keepNext/>
      <w:keepLines/>
      <w:spacing w:before="240" w:after="40"/>
    </w:pPr>
    <w:rPr>
      <w:b/>
    </w:rPr>
  </w:style>
  <w:style w:type="paragraph" w:customStyle="1" w:styleId="heading52">
    <w:name w:val="heading 52"/>
    <w:basedOn w:val="Normal2"/>
    <w:next w:val="Normal2"/>
    <w:pPr>
      <w:keepNext/>
      <w:keepLines/>
      <w:spacing w:before="220" w:after="40"/>
    </w:pPr>
    <w:rPr>
      <w:b/>
      <w:sz w:val="22"/>
      <w:szCs w:val="22"/>
    </w:rPr>
  </w:style>
  <w:style w:type="paragraph" w:customStyle="1" w:styleId="heading62">
    <w:name w:val="heading 62"/>
    <w:basedOn w:val="Normal2"/>
    <w:next w:val="Normal2"/>
    <w:pPr>
      <w:keepNext/>
      <w:keepLines/>
      <w:spacing w:before="200" w:after="40"/>
    </w:pPr>
    <w:rPr>
      <w:b/>
      <w:sz w:val="20"/>
      <w:szCs w:val="20"/>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qFormat/>
  </w:style>
  <w:style w:type="paragraph" w:customStyle="1" w:styleId="heading13">
    <w:name w:val="heading 13"/>
    <w:basedOn w:val="Normal3"/>
    <w:next w:val="Normal3"/>
    <w:uiPriority w:val="9"/>
    <w:qFormat/>
    <w:pPr>
      <w:outlineLvl w:val="0"/>
    </w:pPr>
    <w:rPr>
      <w:b/>
      <w:sz w:val="48"/>
      <w:szCs w:val="48"/>
    </w:rPr>
  </w:style>
  <w:style w:type="paragraph" w:customStyle="1" w:styleId="heading23">
    <w:name w:val="heading 23"/>
    <w:basedOn w:val="Normal3"/>
    <w:next w:val="Normal3"/>
    <w:uiPriority w:val="9"/>
    <w:semiHidden/>
    <w:unhideWhenUsed/>
    <w:qFormat/>
    <w:pPr>
      <w:keepNext/>
      <w:keepLines/>
      <w:spacing w:before="360" w:after="80"/>
      <w:outlineLvl w:val="1"/>
    </w:pPr>
    <w:rPr>
      <w:b/>
      <w:sz w:val="36"/>
      <w:szCs w:val="36"/>
    </w:rPr>
  </w:style>
  <w:style w:type="paragraph" w:customStyle="1" w:styleId="heading33">
    <w:name w:val="heading 33"/>
    <w:basedOn w:val="Normal3"/>
    <w:next w:val="Normal3"/>
    <w:uiPriority w:val="9"/>
    <w:semiHidden/>
    <w:unhideWhenUsed/>
    <w:qFormat/>
    <w:pPr>
      <w:keepNext/>
      <w:keepLines/>
      <w:spacing w:before="280" w:after="80"/>
      <w:outlineLvl w:val="2"/>
    </w:pPr>
    <w:rPr>
      <w:b/>
      <w:sz w:val="28"/>
      <w:szCs w:val="28"/>
    </w:rPr>
  </w:style>
  <w:style w:type="paragraph" w:customStyle="1" w:styleId="heading43">
    <w:name w:val="heading 43"/>
    <w:basedOn w:val="Normal3"/>
    <w:next w:val="Normal3"/>
    <w:uiPriority w:val="9"/>
    <w:semiHidden/>
    <w:unhideWhenUsed/>
    <w:qFormat/>
    <w:pPr>
      <w:keepNext/>
      <w:keepLines/>
      <w:spacing w:before="240" w:after="40"/>
      <w:outlineLvl w:val="3"/>
    </w:pPr>
    <w:rPr>
      <w:b/>
    </w:rPr>
  </w:style>
  <w:style w:type="paragraph" w:customStyle="1" w:styleId="heading53">
    <w:name w:val="heading 53"/>
    <w:basedOn w:val="Normal3"/>
    <w:next w:val="Normal3"/>
    <w:uiPriority w:val="9"/>
    <w:semiHidden/>
    <w:unhideWhenUsed/>
    <w:qFormat/>
    <w:pPr>
      <w:keepNext/>
      <w:keepLines/>
      <w:spacing w:before="220" w:after="40"/>
      <w:outlineLvl w:val="4"/>
    </w:pPr>
    <w:rPr>
      <w:b/>
      <w:sz w:val="22"/>
      <w:szCs w:val="22"/>
    </w:rPr>
  </w:style>
  <w:style w:type="paragraph" w:customStyle="1" w:styleId="heading63">
    <w:name w:val="heading 63"/>
    <w:basedOn w:val="Normal3"/>
    <w:next w:val="Normal3"/>
    <w:uiPriority w:val="9"/>
    <w:semiHidden/>
    <w:unhideWhenUsed/>
    <w:qFormat/>
    <w:pPr>
      <w:keepNext/>
      <w:keepLines/>
      <w:spacing w:before="200" w:after="40"/>
      <w:outlineLvl w:val="5"/>
    </w:pPr>
    <w:rPr>
      <w:b/>
      <w:sz w:val="20"/>
      <w:szCs w:val="20"/>
    </w:rPr>
  </w:style>
  <w:style w:type="table" w:customStyle="1" w:styleId="NormalTable3">
    <w:name w:val="Normal Table3"/>
    <w:uiPriority w:val="99"/>
    <w:semiHidden/>
    <w:unhideWhenUsed/>
    <w:tblPr>
      <w:tblInd w:w="0" w:type="dxa"/>
      <w:tblCellMar>
        <w:top w:w="0" w:type="dxa"/>
        <w:left w:w="108" w:type="dxa"/>
        <w:bottom w:w="0" w:type="dxa"/>
        <w:right w:w="108" w:type="dxa"/>
      </w:tblCellMar>
    </w:tblPr>
  </w:style>
  <w:style w:type="paragraph" w:customStyle="1" w:styleId="Title3">
    <w:name w:val="Title3"/>
    <w:basedOn w:val="Normal3"/>
    <w:next w:val="Normal3"/>
    <w:uiPriority w:val="10"/>
    <w:qFormat/>
    <w:pPr>
      <w:keepNext/>
      <w:keepLines/>
      <w:spacing w:before="480" w:after="120"/>
    </w:pPr>
    <w:rPr>
      <w:b/>
      <w:sz w:val="72"/>
      <w:szCs w:val="72"/>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9755B3"/>
    <w:tblPr>
      <w:tblCellMar>
        <w:top w:w="0" w:type="dxa"/>
        <w:left w:w="0" w:type="dxa"/>
        <w:bottom w:w="0" w:type="dxa"/>
        <w:right w:w="0" w:type="dxa"/>
      </w:tblCellMar>
    </w:tblPr>
  </w:style>
  <w:style w:type="table" w:customStyle="1" w:styleId="TableNormal2">
    <w:name w:val="Table Normal2"/>
    <w:rsid w:val="00A46C3D"/>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3"/>
    <w:next w:val="Normal3"/>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3"/>
    <w:link w:val="EncabezadoCar"/>
    <w:uiPriority w:val="99"/>
    <w:semiHidden/>
    <w:unhideWhenUsed/>
    <w:rsid w:val="00C215DA"/>
    <w:pPr>
      <w:tabs>
        <w:tab w:val="center" w:pos="4252"/>
        <w:tab w:val="right" w:pos="8504"/>
      </w:tabs>
    </w:pPr>
  </w:style>
  <w:style w:type="character" w:customStyle="1" w:styleId="EncabezadoCar">
    <w:name w:val="Encabezado Car"/>
    <w:basedOn w:val="Fuentedeprrafopredeter"/>
    <w:link w:val="Encabezado"/>
    <w:uiPriority w:val="99"/>
    <w:semiHidden/>
    <w:rsid w:val="00C215DA"/>
  </w:style>
  <w:style w:type="paragraph" w:styleId="Piedepgina">
    <w:name w:val="footer"/>
    <w:basedOn w:val="Normal3"/>
    <w:link w:val="PiedepginaCar"/>
    <w:uiPriority w:val="99"/>
    <w:semiHidden/>
    <w:unhideWhenUsed/>
    <w:rsid w:val="00C215DA"/>
    <w:pPr>
      <w:tabs>
        <w:tab w:val="center" w:pos="4252"/>
        <w:tab w:val="right" w:pos="8504"/>
      </w:tabs>
    </w:pPr>
  </w:style>
  <w:style w:type="character" w:customStyle="1" w:styleId="PiedepginaCar">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3"/>
    <w:link w:val="TextocomentarioCar"/>
    <w:uiPriority w:val="99"/>
    <w:unhideWhenUsed/>
    <w:rsid w:val="003A12A1"/>
    <w:rPr>
      <w:sz w:val="20"/>
      <w:szCs w:val="20"/>
    </w:rPr>
  </w:style>
  <w:style w:type="character" w:customStyle="1" w:styleId="TextocomentarioCar">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customStyle="1" w:styleId="AsuntodelcomentarioCar">
    <w:name w:val="Asunto del comentario Car"/>
    <w:basedOn w:val="TextocomentarioCar"/>
    <w:link w:val="Asuntodelcomentario"/>
    <w:uiPriority w:val="99"/>
    <w:semiHidden/>
    <w:rsid w:val="003A12A1"/>
    <w:rPr>
      <w:b/>
      <w:bCs/>
      <w:sz w:val="20"/>
      <w:szCs w:val="20"/>
    </w:rPr>
  </w:style>
  <w:style w:type="table" w:customStyle="1" w:styleId="TableNormal1">
    <w:name w:val="Table Normal1"/>
    <w:rsid w:val="00FB6A16"/>
    <w:tblPr>
      <w:tblCellMar>
        <w:top w:w="0" w:type="dxa"/>
        <w:left w:w="0" w:type="dxa"/>
        <w:bottom w:w="0" w:type="dxa"/>
        <w:right w:w="0" w:type="dxa"/>
      </w:tblCellMar>
    </w:tblPr>
  </w:style>
  <w:style w:type="paragraph" w:customStyle="1" w:styleId="Subtitle0">
    <w:name w:val="Subtitle0"/>
    <w:basedOn w:val="Normal3"/>
    <w:next w:val="Normal3"/>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3"/>
    <w:next w:val="Normal3"/>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3"/>
    <w:next w:val="Normal3"/>
    <w:pPr>
      <w:keepNext/>
      <w:keepLines/>
      <w:spacing w:before="360" w:after="80"/>
    </w:pPr>
    <w:rPr>
      <w:rFonts w:ascii="Georgia" w:eastAsia="Georgia" w:hAnsi="Georgia" w:cs="Georgia"/>
      <w:i/>
      <w:color w:val="666666"/>
      <w:sz w:val="48"/>
      <w:szCs w:val="48"/>
    </w:rPr>
  </w:style>
  <w:style w:type="paragraph" w:customStyle="1" w:styleId="Subtitle3">
    <w:name w:val="Subtitle3"/>
    <w:basedOn w:val="Normal3"/>
    <w:next w:val="Normal3"/>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evamc@varenga.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e.es/doue/2024/229/L00001-03208.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uQhGrpnbb+UB7vF6NbsSc5tSxQ==">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</go:docsCustomData>
</go:gDocsCustomXmlDataStorage>
</file>

<file path=customXml/itemProps1.xml><?xml version="1.0" encoding="utf-8"?>
<ds:datastoreItem xmlns:ds="http://schemas.openxmlformats.org/officeDocument/2006/customXml" ds:itemID="{4922441A-ED7B-43D0-BAE0-5F83B35E8791}">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64658BAE-4702-4A4A-A6A7-C3ECB0837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B6897-1193-4B55-B7B5-9ACDD6B42D8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4199</Characters>
  <Application>Microsoft Office Word</Application>
  <DocSecurity>0</DocSecurity>
  <Lines>34</Lines>
  <Paragraphs>9</Paragraphs>
  <ScaleCrop>false</ScaleCrop>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Gonzalez Fernandez</dc:creator>
  <cp:lastModifiedBy>Denise Diaz Pozo</cp:lastModifiedBy>
  <cp:revision>3</cp:revision>
  <dcterms:created xsi:type="dcterms:W3CDTF">2024-05-24T10:47:00Z</dcterms:created>
  <dcterms:modified xsi:type="dcterms:W3CDTF">2024-05-30T11:26:00Z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