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6F2F89" w:rsidRDefault="006F2F89">
      <w:pPr>
        <w:jc w:val="center"/>
        <w:rPr>
          <w:rFonts w:ascii="Roboto" w:eastAsia="Roboto" w:hAnsi="Roboto" w:cs="Roboto"/>
          <w:b/>
          <w:sz w:val="34"/>
          <w:szCs w:val="34"/>
        </w:rPr>
      </w:pPr>
    </w:p>
    <w:p w14:paraId="0A37501D" w14:textId="77777777" w:rsidR="006F2F89" w:rsidRDefault="006F2F89">
      <w:pPr>
        <w:jc w:val="center"/>
        <w:rPr>
          <w:rFonts w:ascii="Roboto" w:eastAsia="Roboto" w:hAnsi="Roboto" w:cs="Roboto"/>
          <w:b/>
          <w:sz w:val="40"/>
          <w:szCs w:val="40"/>
        </w:rPr>
      </w:pPr>
    </w:p>
    <w:p w14:paraId="3E4C667E" w14:textId="77777777" w:rsidR="006F2F89" w:rsidRDefault="00BE4DF8">
      <w:pPr>
        <w:spacing w:after="160" w:line="259" w:lineRule="auto"/>
        <w:jc w:val="center"/>
        <w:rPr>
          <w:rFonts w:ascii="Roboto" w:eastAsia="Roboto" w:hAnsi="Roboto" w:cs="Roboto"/>
          <w:b/>
          <w:sz w:val="36"/>
          <w:szCs w:val="36"/>
        </w:rPr>
      </w:pPr>
      <w:proofErr w:type="spellStart"/>
      <w:r>
        <w:rPr>
          <w:rFonts w:ascii="Roboto" w:eastAsia="Roboto" w:hAnsi="Roboto" w:cs="Roboto"/>
          <w:b/>
          <w:sz w:val="36"/>
          <w:szCs w:val="36"/>
        </w:rPr>
        <w:t>Addient</w:t>
      </w:r>
      <w:proofErr w:type="spellEnd"/>
      <w:r>
        <w:rPr>
          <w:rFonts w:ascii="Roboto" w:eastAsia="Roboto" w:hAnsi="Roboto" w:cs="Roboto"/>
          <w:b/>
          <w:sz w:val="36"/>
          <w:szCs w:val="36"/>
        </w:rPr>
        <w:t>, primera entidad de inspección acreditada por ENAC para realizar actividades de verificación y control urbanístico en Andalucía</w:t>
      </w:r>
    </w:p>
    <w:p w14:paraId="5DAB6C7B" w14:textId="77777777" w:rsidR="006F2F89" w:rsidRDefault="006F2F89">
      <w:pPr>
        <w:ind w:left="720"/>
        <w:jc w:val="both"/>
        <w:rPr>
          <w:rFonts w:ascii="Roboto" w:eastAsia="Roboto" w:hAnsi="Roboto" w:cs="Roboto"/>
          <w:b/>
          <w:sz w:val="22"/>
          <w:szCs w:val="22"/>
        </w:rPr>
      </w:pPr>
    </w:p>
    <w:p w14:paraId="466C7243" w14:textId="73CEC900" w:rsidR="006F2F89" w:rsidRDefault="00BE4DF8">
      <w:pPr>
        <w:numPr>
          <w:ilvl w:val="0"/>
          <w:numId w:val="1"/>
        </w:numPr>
        <w:spacing w:after="160"/>
        <w:jc w:val="both"/>
        <w:rPr>
          <w:rFonts w:ascii="Roboto" w:eastAsia="Roboto" w:hAnsi="Roboto" w:cs="Roboto"/>
          <w:b/>
          <w:sz w:val="20"/>
          <w:szCs w:val="20"/>
        </w:rPr>
      </w:pPr>
      <w:r>
        <w:rPr>
          <w:rFonts w:ascii="Roboto" w:eastAsia="Roboto" w:hAnsi="Roboto" w:cs="Roboto"/>
          <w:b/>
          <w:sz w:val="20"/>
          <w:szCs w:val="20"/>
        </w:rPr>
        <w:t xml:space="preserve">El Reglamento General de la Ley de Impulso para la Sostenibilidad del Territorio de Andalucía (LISTA) requiere acreditación de ENAC como uno de los requisitos que deben cumplir las entidades interesadas en llevar a cabo actividades de verificación y control urbanístico en esta </w:t>
      </w:r>
      <w:r w:rsidR="009C34F3" w:rsidRPr="67B5C56E">
        <w:rPr>
          <w:rFonts w:ascii="Roboto" w:eastAsia="Roboto" w:hAnsi="Roboto" w:cs="Roboto"/>
          <w:b/>
          <w:bCs/>
          <w:sz w:val="20"/>
          <w:szCs w:val="20"/>
        </w:rPr>
        <w:t>c</w:t>
      </w:r>
      <w:r w:rsidRPr="67B5C56E">
        <w:rPr>
          <w:rFonts w:ascii="Roboto" w:eastAsia="Roboto" w:hAnsi="Roboto" w:cs="Roboto"/>
          <w:b/>
          <w:bCs/>
          <w:sz w:val="20"/>
          <w:szCs w:val="20"/>
        </w:rPr>
        <w:t xml:space="preserve">omunidad </w:t>
      </w:r>
      <w:r w:rsidR="009C34F3" w:rsidRPr="67B5C56E">
        <w:rPr>
          <w:rFonts w:ascii="Roboto" w:eastAsia="Roboto" w:hAnsi="Roboto" w:cs="Roboto"/>
          <w:b/>
          <w:bCs/>
          <w:sz w:val="20"/>
          <w:szCs w:val="20"/>
        </w:rPr>
        <w:t>a</w:t>
      </w:r>
      <w:r w:rsidRPr="67B5C56E">
        <w:rPr>
          <w:rFonts w:ascii="Roboto" w:eastAsia="Roboto" w:hAnsi="Roboto" w:cs="Roboto"/>
          <w:b/>
          <w:bCs/>
          <w:sz w:val="20"/>
          <w:szCs w:val="20"/>
        </w:rPr>
        <w:t>utónoma</w:t>
      </w:r>
      <w:r>
        <w:rPr>
          <w:rFonts w:ascii="Roboto" w:eastAsia="Roboto" w:hAnsi="Roboto" w:cs="Roboto"/>
          <w:b/>
          <w:sz w:val="20"/>
          <w:szCs w:val="20"/>
        </w:rPr>
        <w:t>.</w:t>
      </w:r>
    </w:p>
    <w:p w14:paraId="6906CDE2" w14:textId="77777777" w:rsidR="00AB23B4" w:rsidRDefault="00AB23B4">
      <w:pPr>
        <w:jc w:val="both"/>
        <w:rPr>
          <w:rFonts w:ascii="Roboto" w:eastAsia="Roboto" w:hAnsi="Roboto" w:cs="Roboto"/>
          <w:sz w:val="22"/>
          <w:szCs w:val="22"/>
        </w:rPr>
      </w:pPr>
    </w:p>
    <w:p w14:paraId="0506FD49" w14:textId="12372804" w:rsidR="006F2F89" w:rsidRDefault="00BE4DF8">
      <w:pPr>
        <w:jc w:val="both"/>
        <w:rPr>
          <w:rFonts w:ascii="Roboto" w:eastAsia="Roboto" w:hAnsi="Roboto" w:cs="Roboto"/>
          <w:b/>
          <w:sz w:val="22"/>
          <w:szCs w:val="22"/>
        </w:rPr>
      </w:pPr>
      <w:r>
        <w:rPr>
          <w:rFonts w:ascii="Roboto" w:eastAsia="Roboto" w:hAnsi="Roboto" w:cs="Roboto"/>
          <w:sz w:val="22"/>
          <w:szCs w:val="22"/>
        </w:rPr>
        <w:t xml:space="preserve">Sevilla, </w:t>
      </w:r>
      <w:r w:rsidR="53102A56" w:rsidRPr="3D2DA872">
        <w:rPr>
          <w:rFonts w:ascii="Roboto" w:eastAsia="Roboto" w:hAnsi="Roboto" w:cs="Roboto"/>
          <w:sz w:val="22"/>
          <w:szCs w:val="22"/>
        </w:rPr>
        <w:t>13</w:t>
      </w:r>
      <w:r w:rsidRPr="3D2DA872">
        <w:rPr>
          <w:rFonts w:ascii="Roboto" w:eastAsia="Roboto" w:hAnsi="Roboto" w:cs="Roboto"/>
          <w:sz w:val="22"/>
          <w:szCs w:val="22"/>
        </w:rPr>
        <w:t xml:space="preserve"> de marzo </w:t>
      </w:r>
      <w:r>
        <w:rPr>
          <w:rFonts w:ascii="Roboto" w:eastAsia="Roboto" w:hAnsi="Roboto" w:cs="Roboto"/>
          <w:sz w:val="22"/>
          <w:szCs w:val="22"/>
        </w:rPr>
        <w:t xml:space="preserve">de 2024.- La Entidad Nacional de Acreditación (ENAC) ha concedido a </w:t>
      </w:r>
      <w:proofErr w:type="spellStart"/>
      <w:r>
        <w:rPr>
          <w:rFonts w:ascii="Roboto" w:eastAsia="Roboto" w:hAnsi="Roboto" w:cs="Roboto"/>
          <w:sz w:val="22"/>
          <w:szCs w:val="22"/>
        </w:rPr>
        <w:t>Addient</w:t>
      </w:r>
      <w:proofErr w:type="spellEnd"/>
      <w:r>
        <w:rPr>
          <w:rFonts w:ascii="Roboto" w:eastAsia="Roboto" w:hAnsi="Roboto" w:cs="Roboto"/>
          <w:sz w:val="22"/>
          <w:szCs w:val="22"/>
        </w:rPr>
        <w:t xml:space="preserve"> </w:t>
      </w:r>
      <w:r w:rsidRPr="3D2DA872">
        <w:rPr>
          <w:rFonts w:ascii="Roboto" w:eastAsia="Roboto" w:hAnsi="Roboto" w:cs="Roboto"/>
          <w:sz w:val="22"/>
          <w:szCs w:val="22"/>
        </w:rPr>
        <w:t>la acreditación</w:t>
      </w:r>
      <w:r>
        <w:rPr>
          <w:rFonts w:ascii="Roboto" w:eastAsia="Roboto" w:hAnsi="Roboto" w:cs="Roboto"/>
          <w:sz w:val="22"/>
          <w:szCs w:val="22"/>
        </w:rPr>
        <w:t xml:space="preserve"> como entidad de inspección conforme a la norma UNE-EN ISO/IEC 17020 para realizar actividades de </w:t>
      </w:r>
      <w:r>
        <w:rPr>
          <w:rFonts w:ascii="Roboto" w:eastAsia="Roboto" w:hAnsi="Roboto" w:cs="Roboto"/>
          <w:b/>
          <w:sz w:val="22"/>
          <w:szCs w:val="22"/>
        </w:rPr>
        <w:t>verificación y control urbanístico en Andalucía</w:t>
      </w:r>
      <w:r>
        <w:rPr>
          <w:rFonts w:ascii="Roboto" w:eastAsia="Roboto" w:hAnsi="Roboto" w:cs="Roboto"/>
          <w:sz w:val="22"/>
          <w:szCs w:val="22"/>
        </w:rPr>
        <w:t xml:space="preserve">, convirtiéndose así en la </w:t>
      </w:r>
      <w:r>
        <w:rPr>
          <w:rFonts w:ascii="Roboto" w:eastAsia="Roboto" w:hAnsi="Roboto" w:cs="Roboto"/>
          <w:b/>
          <w:sz w:val="22"/>
          <w:szCs w:val="22"/>
        </w:rPr>
        <w:t>primera entidad de control</w:t>
      </w:r>
      <w:r>
        <w:rPr>
          <w:rFonts w:ascii="Roboto" w:eastAsia="Roboto" w:hAnsi="Roboto" w:cs="Roboto"/>
          <w:sz w:val="22"/>
          <w:szCs w:val="22"/>
        </w:rPr>
        <w:t xml:space="preserve"> </w:t>
      </w:r>
      <w:r>
        <w:rPr>
          <w:rFonts w:ascii="Roboto" w:eastAsia="Roboto" w:hAnsi="Roboto" w:cs="Roboto"/>
          <w:b/>
          <w:sz w:val="22"/>
          <w:szCs w:val="22"/>
        </w:rPr>
        <w:t>urbanístico acreditada</w:t>
      </w:r>
      <w:r>
        <w:rPr>
          <w:rFonts w:ascii="Roboto" w:eastAsia="Roboto" w:hAnsi="Roboto" w:cs="Roboto"/>
          <w:sz w:val="22"/>
          <w:szCs w:val="22"/>
        </w:rPr>
        <w:t xml:space="preserve"> </w:t>
      </w:r>
      <w:r>
        <w:rPr>
          <w:rFonts w:ascii="Roboto" w:eastAsia="Roboto" w:hAnsi="Roboto" w:cs="Roboto"/>
          <w:b/>
          <w:sz w:val="22"/>
          <w:szCs w:val="22"/>
        </w:rPr>
        <w:t xml:space="preserve">en esta </w:t>
      </w:r>
      <w:r w:rsidR="009C34F3" w:rsidRPr="3D2DA872">
        <w:rPr>
          <w:rFonts w:ascii="Roboto" w:eastAsia="Roboto" w:hAnsi="Roboto" w:cs="Roboto"/>
          <w:b/>
          <w:bCs/>
          <w:sz w:val="22"/>
          <w:szCs w:val="22"/>
        </w:rPr>
        <w:t>c</w:t>
      </w:r>
      <w:r w:rsidRPr="3D2DA872">
        <w:rPr>
          <w:rFonts w:ascii="Roboto" w:eastAsia="Roboto" w:hAnsi="Roboto" w:cs="Roboto"/>
          <w:b/>
          <w:bCs/>
          <w:sz w:val="22"/>
          <w:szCs w:val="22"/>
        </w:rPr>
        <w:t xml:space="preserve">omunidad </w:t>
      </w:r>
      <w:r>
        <w:rPr>
          <w:rFonts w:ascii="Roboto" w:eastAsia="Roboto" w:hAnsi="Roboto" w:cs="Roboto"/>
          <w:b/>
          <w:sz w:val="22"/>
          <w:szCs w:val="22"/>
        </w:rPr>
        <w:t xml:space="preserve">autónoma. </w:t>
      </w:r>
    </w:p>
    <w:p w14:paraId="02EB378F" w14:textId="77777777" w:rsidR="006F2F89" w:rsidRDefault="006F2F89">
      <w:pPr>
        <w:jc w:val="both"/>
        <w:rPr>
          <w:rFonts w:ascii="Roboto" w:eastAsia="Roboto" w:hAnsi="Roboto" w:cs="Roboto"/>
          <w:sz w:val="22"/>
          <w:szCs w:val="22"/>
        </w:rPr>
      </w:pPr>
    </w:p>
    <w:p w14:paraId="521501BA" w14:textId="77777777" w:rsidR="006F2F89" w:rsidRDefault="00BE4DF8">
      <w:pPr>
        <w:spacing w:after="160"/>
        <w:jc w:val="both"/>
        <w:rPr>
          <w:rFonts w:ascii="Roboto" w:eastAsia="Roboto" w:hAnsi="Roboto" w:cs="Roboto"/>
          <w:sz w:val="22"/>
          <w:szCs w:val="22"/>
        </w:rPr>
      </w:pPr>
      <w:r>
        <w:rPr>
          <w:rFonts w:ascii="Roboto" w:eastAsia="Roboto" w:hAnsi="Roboto" w:cs="Roboto"/>
          <w:sz w:val="22"/>
          <w:szCs w:val="22"/>
        </w:rPr>
        <w:t xml:space="preserve">Esta acreditación habilita a </w:t>
      </w:r>
      <w:proofErr w:type="spellStart"/>
      <w:r>
        <w:rPr>
          <w:rFonts w:ascii="Roboto" w:eastAsia="Roboto" w:hAnsi="Roboto" w:cs="Roboto"/>
          <w:sz w:val="22"/>
          <w:szCs w:val="22"/>
        </w:rPr>
        <w:t>Addient</w:t>
      </w:r>
      <w:proofErr w:type="spellEnd"/>
      <w:r>
        <w:rPr>
          <w:rFonts w:ascii="Roboto" w:eastAsia="Roboto" w:hAnsi="Roboto" w:cs="Roboto"/>
          <w:sz w:val="22"/>
          <w:szCs w:val="22"/>
        </w:rPr>
        <w:t xml:space="preserve"> a actuar en el marco del</w:t>
      </w:r>
      <w:r>
        <w:rPr>
          <w:rFonts w:ascii="Roboto" w:eastAsia="Roboto" w:hAnsi="Roboto" w:cs="Roboto"/>
          <w:b/>
          <w:color w:val="333333"/>
          <w:sz w:val="22"/>
          <w:szCs w:val="22"/>
        </w:rPr>
        <w:t xml:space="preserve"> </w:t>
      </w:r>
      <w:hyperlink r:id="rId10">
        <w:r>
          <w:rPr>
            <w:rFonts w:ascii="Roboto" w:eastAsia="Roboto" w:hAnsi="Roboto" w:cs="Roboto"/>
            <w:b/>
            <w:color w:val="62899C"/>
            <w:sz w:val="22"/>
            <w:szCs w:val="22"/>
            <w:u w:val="single"/>
          </w:rPr>
          <w:t>Decreto 550/2022</w:t>
        </w:r>
      </w:hyperlink>
      <w:r>
        <w:rPr>
          <w:rFonts w:ascii="Roboto" w:eastAsia="Roboto" w:hAnsi="Roboto" w:cs="Roboto"/>
          <w:b/>
          <w:color w:val="333333"/>
          <w:sz w:val="22"/>
          <w:szCs w:val="22"/>
        </w:rPr>
        <w:t xml:space="preserve">, </w:t>
      </w:r>
      <w:r>
        <w:rPr>
          <w:rFonts w:ascii="Roboto" w:eastAsia="Roboto" w:hAnsi="Roboto" w:cs="Roboto"/>
          <w:sz w:val="22"/>
          <w:szCs w:val="22"/>
        </w:rPr>
        <w:t xml:space="preserve">que aprueba el </w:t>
      </w:r>
      <w:r>
        <w:rPr>
          <w:rFonts w:ascii="Roboto" w:eastAsia="Roboto" w:hAnsi="Roboto" w:cs="Roboto"/>
          <w:b/>
          <w:sz w:val="22"/>
          <w:szCs w:val="22"/>
        </w:rPr>
        <w:t>Reglamento General de la Ley de Impulso para la Sostenibilidad del Territorio de Andalucía (LISTA)</w:t>
      </w:r>
      <w:r>
        <w:rPr>
          <w:rFonts w:ascii="Roboto" w:eastAsia="Roboto" w:hAnsi="Roboto" w:cs="Roboto"/>
          <w:sz w:val="22"/>
          <w:szCs w:val="22"/>
        </w:rPr>
        <w:t xml:space="preserve"> y que </w:t>
      </w:r>
      <w:r>
        <w:rPr>
          <w:rFonts w:ascii="Roboto" w:eastAsia="Roboto" w:hAnsi="Roboto" w:cs="Roboto"/>
          <w:b/>
          <w:sz w:val="22"/>
          <w:szCs w:val="22"/>
        </w:rPr>
        <w:t>requiere acreditación de ENAC</w:t>
      </w:r>
      <w:r>
        <w:rPr>
          <w:rFonts w:ascii="Roboto" w:eastAsia="Roboto" w:hAnsi="Roboto" w:cs="Roboto"/>
          <w:sz w:val="22"/>
          <w:szCs w:val="22"/>
        </w:rPr>
        <w:t xml:space="preserve"> como uno de los requisitos que deben cumplir las entidades interesadas en llevar a cabo actividades de verificación y control urbanístico en Andalucía.</w:t>
      </w:r>
    </w:p>
    <w:p w14:paraId="75EFF92D" w14:textId="77777777" w:rsidR="00AB23B4" w:rsidRDefault="00AB23B4">
      <w:pPr>
        <w:spacing w:after="160"/>
        <w:jc w:val="both"/>
        <w:rPr>
          <w:rFonts w:ascii="Roboto" w:eastAsia="Roboto" w:hAnsi="Roboto" w:cs="Roboto"/>
          <w:b/>
          <w:sz w:val="22"/>
          <w:szCs w:val="22"/>
        </w:rPr>
      </w:pPr>
    </w:p>
    <w:p w14:paraId="7300B1C0" w14:textId="1F82BF42" w:rsidR="006F2F89" w:rsidRDefault="00BE4DF8">
      <w:pPr>
        <w:spacing w:after="160"/>
        <w:jc w:val="both"/>
        <w:rPr>
          <w:rFonts w:ascii="Roboto" w:eastAsia="Roboto" w:hAnsi="Roboto" w:cs="Roboto"/>
          <w:b/>
          <w:sz w:val="22"/>
          <w:szCs w:val="22"/>
        </w:rPr>
      </w:pPr>
      <w:r>
        <w:rPr>
          <w:rFonts w:ascii="Roboto" w:eastAsia="Roboto" w:hAnsi="Roboto" w:cs="Roboto"/>
          <w:b/>
          <w:sz w:val="22"/>
          <w:szCs w:val="22"/>
        </w:rPr>
        <w:t>La acreditación, un apoyo a la Administración en materia de control urbanístico</w:t>
      </w:r>
    </w:p>
    <w:p w14:paraId="2E61E522" w14:textId="77777777" w:rsidR="006F2F89" w:rsidRDefault="00BE4DF8">
      <w:pPr>
        <w:spacing w:after="160" w:line="259" w:lineRule="auto"/>
        <w:jc w:val="both"/>
        <w:rPr>
          <w:rFonts w:ascii="Roboto" w:eastAsia="Roboto" w:hAnsi="Roboto" w:cs="Roboto"/>
          <w:sz w:val="22"/>
          <w:szCs w:val="22"/>
        </w:rPr>
      </w:pPr>
      <w:r>
        <w:rPr>
          <w:rFonts w:ascii="Roboto" w:eastAsia="Roboto" w:hAnsi="Roboto" w:cs="Roboto"/>
          <w:sz w:val="22"/>
          <w:szCs w:val="22"/>
        </w:rPr>
        <w:t>La Administración Pública tiene en ENAC un socio de confianza, dado que la acreditación aporta garantías de seguridad e integridad a actividades clave de numerosos sectores económicos, como es el caso del control urbanístico.</w:t>
      </w:r>
    </w:p>
    <w:p w14:paraId="13577E1E" w14:textId="77777777" w:rsidR="006F2F89" w:rsidRDefault="00BE4DF8">
      <w:pPr>
        <w:spacing w:after="160" w:line="259" w:lineRule="auto"/>
        <w:jc w:val="both"/>
        <w:rPr>
          <w:rFonts w:ascii="Roboto" w:eastAsia="Roboto" w:hAnsi="Roboto" w:cs="Roboto"/>
          <w:sz w:val="22"/>
          <w:szCs w:val="22"/>
        </w:rPr>
      </w:pPr>
      <w:r>
        <w:rPr>
          <w:rFonts w:ascii="Roboto" w:eastAsia="Roboto" w:hAnsi="Roboto" w:cs="Roboto"/>
          <w:sz w:val="22"/>
          <w:szCs w:val="22"/>
        </w:rPr>
        <w:t>En este sentido, cada vez son más las reglamentaciones europeas, nacionales y autonómicas que, como en el caso del Decreto 550/2022, hacen uso de la acreditación como herramienta de apoyo para el desarrollo e implementación de sus políticas públicas.</w:t>
      </w:r>
    </w:p>
    <w:p w14:paraId="2F1DA654" w14:textId="77777777" w:rsidR="00AB23B4" w:rsidRDefault="00AB23B4">
      <w:pPr>
        <w:jc w:val="both"/>
        <w:rPr>
          <w:rFonts w:ascii="Roboto" w:eastAsia="Roboto" w:hAnsi="Roboto" w:cs="Roboto"/>
          <w:b/>
          <w:color w:val="E83544"/>
          <w:sz w:val="22"/>
          <w:szCs w:val="22"/>
        </w:rPr>
      </w:pPr>
    </w:p>
    <w:p w14:paraId="031558A7" w14:textId="71218CA6" w:rsidR="006F2F89" w:rsidRDefault="00BE4DF8">
      <w:pPr>
        <w:jc w:val="both"/>
        <w:rPr>
          <w:rFonts w:ascii="Roboto" w:eastAsia="Roboto" w:hAnsi="Roboto" w:cs="Roboto"/>
          <w:b/>
          <w:color w:val="E83544"/>
          <w:sz w:val="22"/>
          <w:szCs w:val="22"/>
        </w:rPr>
      </w:pPr>
      <w:r>
        <w:rPr>
          <w:rFonts w:ascii="Roboto" w:eastAsia="Roboto" w:hAnsi="Roboto" w:cs="Roboto"/>
          <w:b/>
          <w:color w:val="E83544"/>
          <w:sz w:val="22"/>
          <w:szCs w:val="22"/>
        </w:rPr>
        <w:t>Sobre ENAC</w:t>
      </w:r>
    </w:p>
    <w:p w14:paraId="6A05A809" w14:textId="77777777" w:rsidR="006F2F89" w:rsidRDefault="006F2F89">
      <w:pPr>
        <w:jc w:val="both"/>
        <w:rPr>
          <w:rFonts w:ascii="Roboto" w:eastAsia="Roboto" w:hAnsi="Roboto" w:cs="Roboto"/>
          <w:b/>
          <w:color w:val="E83544"/>
          <w:sz w:val="22"/>
          <w:szCs w:val="22"/>
        </w:rPr>
      </w:pPr>
    </w:p>
    <w:p w14:paraId="34127800" w14:textId="669AE3A3" w:rsidR="006F2F89" w:rsidRDefault="00BE4DF8">
      <w:pPr>
        <w:jc w:val="both"/>
        <w:rPr>
          <w:rFonts w:ascii="Roboto" w:eastAsia="Roboto" w:hAnsi="Roboto" w:cs="Roboto"/>
          <w:sz w:val="22"/>
          <w:szCs w:val="22"/>
        </w:rPr>
      </w:pPr>
      <w:r w:rsidRPr="5F519629">
        <w:rPr>
          <w:rFonts w:ascii="Roboto" w:eastAsia="Roboto" w:hAnsi="Roboto" w:cs="Roboto"/>
          <w:sz w:val="22"/>
          <w:szCs w:val="22"/>
        </w:rPr>
        <w:t>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w:t>
      </w:r>
    </w:p>
    <w:p w14:paraId="5A39BBE3" w14:textId="77777777" w:rsidR="006F2F89" w:rsidRDefault="006F2F89">
      <w:pPr>
        <w:jc w:val="both"/>
        <w:rPr>
          <w:rFonts w:ascii="Roboto" w:eastAsia="Roboto" w:hAnsi="Roboto" w:cs="Roboto"/>
          <w:sz w:val="22"/>
          <w:szCs w:val="22"/>
        </w:rPr>
      </w:pPr>
    </w:p>
    <w:p w14:paraId="41C8F396" w14:textId="77777777" w:rsidR="006F2F89" w:rsidRDefault="006F2F89">
      <w:pPr>
        <w:jc w:val="both"/>
        <w:rPr>
          <w:rFonts w:ascii="Roboto" w:eastAsia="Roboto" w:hAnsi="Roboto" w:cs="Roboto"/>
          <w:sz w:val="22"/>
          <w:szCs w:val="22"/>
        </w:rPr>
      </w:pPr>
    </w:p>
    <w:p w14:paraId="72A3D3EC" w14:textId="77777777" w:rsidR="006F2F89" w:rsidRDefault="006F2F89">
      <w:pPr>
        <w:jc w:val="both"/>
        <w:rPr>
          <w:rFonts w:ascii="Roboto" w:eastAsia="Roboto" w:hAnsi="Roboto" w:cs="Roboto"/>
          <w:sz w:val="22"/>
          <w:szCs w:val="22"/>
        </w:rPr>
      </w:pPr>
    </w:p>
    <w:p w14:paraId="0D0B940D" w14:textId="77777777" w:rsidR="006F2F89" w:rsidRDefault="006F2F89">
      <w:pPr>
        <w:jc w:val="both"/>
        <w:rPr>
          <w:rFonts w:ascii="Roboto" w:eastAsia="Roboto" w:hAnsi="Roboto" w:cs="Roboto"/>
          <w:sz w:val="22"/>
          <w:szCs w:val="22"/>
        </w:rPr>
      </w:pPr>
    </w:p>
    <w:p w14:paraId="0E27B00A" w14:textId="77777777" w:rsidR="006F2F89" w:rsidRDefault="006F2F89">
      <w:pPr>
        <w:jc w:val="both"/>
        <w:rPr>
          <w:rFonts w:ascii="Roboto" w:eastAsia="Roboto" w:hAnsi="Roboto" w:cs="Roboto"/>
          <w:sz w:val="22"/>
          <w:szCs w:val="22"/>
        </w:rPr>
      </w:pPr>
    </w:p>
    <w:p w14:paraId="3656B9AB" w14:textId="77777777" w:rsidR="006F2F89" w:rsidRDefault="006F2F89">
      <w:pPr>
        <w:jc w:val="both"/>
        <w:rPr>
          <w:rFonts w:ascii="Roboto" w:eastAsia="Roboto" w:hAnsi="Roboto" w:cs="Roboto"/>
          <w:sz w:val="22"/>
          <w:szCs w:val="22"/>
        </w:rPr>
      </w:pPr>
    </w:p>
    <w:p w14:paraId="7F65AF5F" w14:textId="77777777" w:rsidR="006F2F89" w:rsidRDefault="00BE4DF8">
      <w:pPr>
        <w:jc w:val="both"/>
        <w:rPr>
          <w:rFonts w:ascii="Roboto" w:eastAsia="Roboto" w:hAnsi="Roboto" w:cs="Roboto"/>
          <w:sz w:val="22"/>
          <w:szCs w:val="22"/>
        </w:rPr>
      </w:pPr>
      <w:r>
        <w:rPr>
          <w:rFonts w:ascii="Roboto" w:eastAsia="Roboto" w:hAnsi="Roboto" w:cs="Roboto"/>
          <w:sz w:val="22"/>
          <w:szCs w:val="22"/>
        </w:rPr>
        <w:t>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14:paraId="6E7BEAA2" w14:textId="77777777" w:rsidR="006F2F89" w:rsidRDefault="00BE4DF8">
      <w:pPr>
        <w:jc w:val="both"/>
        <w:rPr>
          <w:rFonts w:ascii="Roboto" w:eastAsia="Roboto" w:hAnsi="Roboto" w:cs="Roboto"/>
          <w:sz w:val="22"/>
          <w:szCs w:val="22"/>
        </w:rPr>
      </w:pPr>
      <w:r>
        <w:rPr>
          <w:rFonts w:ascii="Roboto" w:eastAsia="Roboto" w:hAnsi="Roboto" w:cs="Roboto"/>
          <w:sz w:val="22"/>
          <w:szCs w:val="22"/>
        </w:rPr>
        <w:t> </w:t>
      </w:r>
    </w:p>
    <w:p w14:paraId="7942839E" w14:textId="77777777" w:rsidR="006F2F89" w:rsidRDefault="00BE4DF8">
      <w:pPr>
        <w:jc w:val="both"/>
        <w:rPr>
          <w:rFonts w:ascii="Roboto" w:eastAsia="Roboto" w:hAnsi="Roboto" w:cs="Roboto"/>
          <w:sz w:val="22"/>
          <w:szCs w:val="22"/>
        </w:rPr>
      </w:pPr>
      <w:r>
        <w:rPr>
          <w:rFonts w:ascii="Roboto" w:eastAsia="Roboto" w:hAnsi="Roboto" w:cs="Roboto"/>
          <w:sz w:val="22"/>
          <w:szCs w:val="22"/>
        </w:rPr>
        <w:t>La marca ENAC es la manera de distinguir si un certificado o informe está acreditado o no. Es la garantía de que la organización que lo emite es técnicamente competente para llevar a cabo la tarea que realiza, y lo es tanto en España como en los 100 países en los que la marca de ENAC es reconocida y aceptada gracias a los acuerdos de reconocimiento que ENAC ha suscrito con las entidades de acreditación de esos países.</w:t>
      </w:r>
    </w:p>
    <w:p w14:paraId="45FB0818" w14:textId="77777777" w:rsidR="006F2F89" w:rsidRDefault="006F2F89">
      <w:pPr>
        <w:jc w:val="both"/>
        <w:rPr>
          <w:rFonts w:ascii="Roboto" w:eastAsia="Roboto" w:hAnsi="Roboto" w:cs="Roboto"/>
          <w:sz w:val="22"/>
          <w:szCs w:val="22"/>
        </w:rPr>
      </w:pPr>
    </w:p>
    <w:p w14:paraId="049F31CB" w14:textId="77777777" w:rsidR="006F2F89" w:rsidRDefault="006F2F89">
      <w:pPr>
        <w:jc w:val="both"/>
        <w:rPr>
          <w:rFonts w:ascii="Roboto" w:eastAsia="Roboto" w:hAnsi="Roboto" w:cs="Roboto"/>
          <w:sz w:val="22"/>
          <w:szCs w:val="22"/>
        </w:rPr>
      </w:pPr>
    </w:p>
    <w:p w14:paraId="72ADE443" w14:textId="77777777" w:rsidR="006F2F89" w:rsidRDefault="00AB23B4">
      <w:pPr>
        <w:pBdr>
          <w:bottom w:val="single" w:sz="12" w:space="1" w:color="000000"/>
        </w:pBdr>
        <w:jc w:val="both"/>
        <w:rPr>
          <w:rFonts w:ascii="Roboto" w:eastAsia="Roboto" w:hAnsi="Roboto" w:cs="Roboto"/>
          <w:color w:val="E83544"/>
          <w:sz w:val="22"/>
          <w:szCs w:val="22"/>
        </w:rPr>
      </w:pPr>
      <w:hyperlink r:id="rId11">
        <w:r w:rsidR="00BE4DF8">
          <w:rPr>
            <w:rFonts w:ascii="Roboto" w:eastAsia="Roboto" w:hAnsi="Roboto" w:cs="Roboto"/>
            <w:color w:val="E83544"/>
            <w:sz w:val="22"/>
            <w:szCs w:val="22"/>
            <w:u w:val="single"/>
          </w:rPr>
          <w:t>www.enac.es</w:t>
        </w:r>
      </w:hyperlink>
      <w:r w:rsidR="00BE4DF8">
        <w:rPr>
          <w:rFonts w:ascii="Roboto" w:eastAsia="Roboto" w:hAnsi="Roboto" w:cs="Roboto"/>
          <w:color w:val="E83544"/>
          <w:sz w:val="22"/>
          <w:szCs w:val="22"/>
        </w:rPr>
        <w:t xml:space="preserve"> </w:t>
      </w:r>
    </w:p>
    <w:p w14:paraId="53128261" w14:textId="77777777" w:rsidR="006F2F89" w:rsidRDefault="006F2F89">
      <w:pPr>
        <w:pBdr>
          <w:bottom w:val="single" w:sz="12" w:space="1" w:color="000000"/>
        </w:pBdr>
        <w:jc w:val="both"/>
        <w:rPr>
          <w:rFonts w:ascii="Roboto" w:eastAsia="Roboto" w:hAnsi="Roboto" w:cs="Roboto"/>
          <w:color w:val="E83544"/>
          <w:sz w:val="22"/>
          <w:szCs w:val="22"/>
        </w:rPr>
      </w:pPr>
    </w:p>
    <w:p w14:paraId="54F9AE05" w14:textId="77777777" w:rsidR="006F2F89" w:rsidRDefault="00BE4DF8">
      <w:pPr>
        <w:pBdr>
          <w:bottom w:val="single" w:sz="12" w:space="1" w:color="000000"/>
        </w:pBdr>
        <w:jc w:val="both"/>
        <w:rPr>
          <w:rFonts w:ascii="Roboto" w:eastAsia="Roboto" w:hAnsi="Roboto" w:cs="Roboto"/>
          <w:sz w:val="22"/>
          <w:szCs w:val="22"/>
        </w:rPr>
      </w:pP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2274F8AC" wp14:editId="07777777">
            <wp:extent cx="304800" cy="3048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04800" cy="304800"/>
                    </a:xfrm>
                    <a:prstGeom prst="rect">
                      <a:avLst/>
                    </a:prstGeom>
                    <a:ln/>
                  </pic:spPr>
                </pic:pic>
              </a:graphicData>
            </a:graphic>
          </wp:inline>
        </w:drawing>
      </w: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08B65F2F" wp14:editId="07777777">
            <wp:extent cx="304800" cy="304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04800" cy="304800"/>
                    </a:xfrm>
                    <a:prstGeom prst="rect">
                      <a:avLst/>
                    </a:prstGeom>
                    <a:ln/>
                  </pic:spPr>
                </pic:pic>
              </a:graphicData>
            </a:graphic>
          </wp:inline>
        </w:drawing>
      </w:r>
    </w:p>
    <w:p w14:paraId="62486C05" w14:textId="77777777" w:rsidR="006F2F89" w:rsidRDefault="006F2F89">
      <w:pPr>
        <w:pBdr>
          <w:bottom w:val="single" w:sz="12" w:space="1" w:color="000000"/>
        </w:pBdr>
        <w:jc w:val="both"/>
        <w:rPr>
          <w:rFonts w:ascii="Roboto" w:eastAsia="Roboto" w:hAnsi="Roboto" w:cs="Roboto"/>
          <w:color w:val="E83544"/>
          <w:sz w:val="22"/>
          <w:szCs w:val="22"/>
        </w:rPr>
      </w:pPr>
    </w:p>
    <w:p w14:paraId="4101652C" w14:textId="77777777" w:rsidR="006F2F89" w:rsidRDefault="006F2F89">
      <w:pPr>
        <w:jc w:val="both"/>
        <w:rPr>
          <w:rFonts w:ascii="Roboto" w:eastAsia="Roboto" w:hAnsi="Roboto" w:cs="Roboto"/>
          <w:color w:val="E83544"/>
          <w:sz w:val="22"/>
          <w:szCs w:val="22"/>
        </w:rPr>
      </w:pPr>
    </w:p>
    <w:p w14:paraId="70AF4A84" w14:textId="77777777" w:rsidR="006F2F89" w:rsidRDefault="00BE4DF8">
      <w:pPr>
        <w:jc w:val="both"/>
        <w:rPr>
          <w:rFonts w:ascii="Roboto" w:eastAsia="Roboto" w:hAnsi="Roboto" w:cs="Roboto"/>
          <w:sz w:val="22"/>
          <w:szCs w:val="22"/>
        </w:rPr>
      </w:pPr>
      <w:r>
        <w:rPr>
          <w:rFonts w:ascii="Roboto" w:eastAsia="Roboto" w:hAnsi="Roboto" w:cs="Roboto"/>
          <w:sz w:val="22"/>
          <w:szCs w:val="22"/>
        </w:rPr>
        <w:t>Para más información sobre la nota de prensa, resolver dudas o gestionar entrevistas</w:t>
      </w:r>
    </w:p>
    <w:p w14:paraId="527B165C" w14:textId="77777777" w:rsidR="006F2F89" w:rsidRDefault="00BE4DF8">
      <w:pPr>
        <w:jc w:val="both"/>
        <w:rPr>
          <w:rFonts w:ascii="Roboto" w:eastAsia="Roboto" w:hAnsi="Roboto" w:cs="Roboto"/>
          <w:sz w:val="22"/>
          <w:szCs w:val="22"/>
        </w:rPr>
      </w:pPr>
      <w:r>
        <w:rPr>
          <w:rFonts w:ascii="Roboto" w:eastAsia="Roboto" w:hAnsi="Roboto" w:cs="Roboto"/>
          <w:sz w:val="22"/>
          <w:szCs w:val="22"/>
        </w:rPr>
        <w:t>Eva Martín</w:t>
      </w:r>
    </w:p>
    <w:p w14:paraId="0B05E5D0" w14:textId="77777777" w:rsidR="006F2F89" w:rsidRDefault="00BE4DF8">
      <w:pPr>
        <w:jc w:val="both"/>
        <w:rPr>
          <w:rFonts w:ascii="Roboto" w:eastAsia="Roboto" w:hAnsi="Roboto" w:cs="Roboto"/>
          <w:sz w:val="22"/>
          <w:szCs w:val="22"/>
        </w:rPr>
      </w:pPr>
      <w:r>
        <w:rPr>
          <w:rFonts w:ascii="Roboto" w:eastAsia="Roboto" w:hAnsi="Roboto" w:cs="Roboto"/>
          <w:sz w:val="22"/>
          <w:szCs w:val="22"/>
        </w:rPr>
        <w:t xml:space="preserve">Tfno. 628 17 49 01 / </w:t>
      </w:r>
      <w:r>
        <w:rPr>
          <w:rFonts w:ascii="Roboto" w:eastAsia="Roboto" w:hAnsi="Roboto" w:cs="Roboto"/>
          <w:color w:val="E83544"/>
          <w:sz w:val="22"/>
          <w:szCs w:val="22"/>
        </w:rPr>
        <w:t xml:space="preserve"> </w:t>
      </w:r>
      <w:hyperlink r:id="rId14">
        <w:r>
          <w:rPr>
            <w:rFonts w:ascii="Roboto" w:eastAsia="Roboto" w:hAnsi="Roboto" w:cs="Roboto"/>
            <w:color w:val="E83544"/>
            <w:sz w:val="22"/>
            <w:szCs w:val="22"/>
            <w:u w:val="single"/>
          </w:rPr>
          <w:t>evamc@varenga.es</w:t>
        </w:r>
      </w:hyperlink>
    </w:p>
    <w:p w14:paraId="4B99056E" w14:textId="77777777" w:rsidR="006F2F89" w:rsidRDefault="006F2F89">
      <w:pPr>
        <w:spacing w:after="160"/>
        <w:jc w:val="both"/>
        <w:rPr>
          <w:rFonts w:ascii="Roboto" w:eastAsia="Roboto" w:hAnsi="Roboto" w:cs="Roboto"/>
          <w:color w:val="333333"/>
          <w:sz w:val="27"/>
          <w:szCs w:val="27"/>
          <w:highlight w:val="white"/>
        </w:rPr>
      </w:pPr>
    </w:p>
    <w:p w14:paraId="1299C43A" w14:textId="77777777" w:rsidR="006F2F89" w:rsidRDefault="006F2F89"/>
    <w:p w14:paraId="4DDBEF00" w14:textId="77777777" w:rsidR="006F2F89" w:rsidRDefault="006F2F89"/>
    <w:p w14:paraId="3461D779" w14:textId="77777777" w:rsidR="006F2F89" w:rsidRDefault="006F2F89">
      <w:pPr>
        <w:pBdr>
          <w:top w:val="nil"/>
          <w:left w:val="nil"/>
          <w:bottom w:val="nil"/>
          <w:right w:val="nil"/>
          <w:between w:val="nil"/>
        </w:pBdr>
        <w:rPr>
          <w:rFonts w:ascii="Calibri" w:eastAsia="Calibri" w:hAnsi="Calibri" w:cs="Calibri"/>
          <w:highlight w:val="white"/>
        </w:rPr>
      </w:pPr>
    </w:p>
    <w:sectPr w:rsidR="006F2F89">
      <w:headerReference w:type="even" r:id="rId15"/>
      <w:headerReference w:type="default" r:id="rId16"/>
      <w:footerReference w:type="even" r:id="rId17"/>
      <w:footerReference w:type="default" r:id="rId18"/>
      <w:headerReference w:type="first" r:id="rId19"/>
      <w:footerReference w:type="first" r:id="rId20"/>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421F98" w14:textId="77777777" w:rsidR="00BE4DF8" w:rsidRDefault="00BE4DF8">
      <w:r>
        <w:separator/>
      </w:r>
    </w:p>
  </w:endnote>
  <w:endnote w:type="continuationSeparator" w:id="0">
    <w:p w14:paraId="00AFD4C2" w14:textId="77777777" w:rsidR="00BE4DF8" w:rsidRDefault="00BE4DF8">
      <w:r>
        <w:continuationSeparator/>
      </w:r>
    </w:p>
  </w:endnote>
  <w:endnote w:type="continuationNotice" w:id="1">
    <w:p w14:paraId="3435AFE8" w14:textId="77777777" w:rsidR="006F296C" w:rsidRDefault="006F29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EC08447-3D90-4B80-AF46-0FFD5237897B}"/>
    <w:embedItalic r:id="rId2" w:fontKey="{B4C27014-49A3-46FE-AD38-108F82F15551}"/>
  </w:font>
  <w:font w:name="Roboto">
    <w:charset w:val="00"/>
    <w:family w:val="auto"/>
    <w:pitch w:val="variable"/>
    <w:sig w:usb0="E0000AFF" w:usb1="5000217F" w:usb2="00000021" w:usb3="00000000" w:csb0="0000019F" w:csb1="00000000"/>
    <w:embedRegular r:id="rId3" w:fontKey="{D8317CB8-1F08-4862-B618-16E309BA10C5}"/>
    <w:embedBold r:id="rId4" w:fontKey="{A10A7285-DC00-4F4F-948D-1E1A48C6C0F4}"/>
  </w:font>
  <w:font w:name="Calibri">
    <w:panose1 w:val="020F0502020204030204"/>
    <w:charset w:val="00"/>
    <w:family w:val="swiss"/>
    <w:pitch w:val="variable"/>
    <w:sig w:usb0="E4002EFF" w:usb1="C000247B" w:usb2="00000009" w:usb3="00000000" w:csb0="000001FF" w:csb1="00000000"/>
    <w:embedRegular r:id="rId5" w:fontKey="{0D3F9475-97BF-4302-9681-22937A102C75}"/>
    <w:embedBold r:id="rId6" w:fontKey="{927CCDB9-13E5-4F72-9555-12BFDED220F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EE2F7BC9-8D49-46D2-8CFD-5EFDF9AC4B7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2CB0E" w14:textId="77777777" w:rsidR="006F2F89" w:rsidRDefault="006F2F89">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EDD17" w14:textId="3D8115C4" w:rsidR="006F2F89" w:rsidRDefault="00BE4DF8">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1E4A97">
      <w:rPr>
        <w:noProof/>
        <w:color w:val="000000"/>
      </w:rPr>
      <w:t>1</w:t>
    </w:r>
    <w:r>
      <w:rPr>
        <w:color w:val="000000"/>
      </w:rPr>
      <w:fldChar w:fldCharType="end"/>
    </w:r>
  </w:p>
  <w:p w14:paraId="1FC39945" w14:textId="77777777" w:rsidR="006F2F89" w:rsidRDefault="006F2F89">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BF3C5" w14:textId="77777777" w:rsidR="006F2F89" w:rsidRDefault="006F2F89">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3100F7" w14:textId="77777777" w:rsidR="00BE4DF8" w:rsidRDefault="00BE4DF8">
      <w:r>
        <w:separator/>
      </w:r>
    </w:p>
  </w:footnote>
  <w:footnote w:type="continuationSeparator" w:id="0">
    <w:p w14:paraId="07652B4E" w14:textId="77777777" w:rsidR="00BE4DF8" w:rsidRDefault="00BE4DF8">
      <w:r>
        <w:continuationSeparator/>
      </w:r>
    </w:p>
  </w:footnote>
  <w:footnote w:type="continuationNotice" w:id="1">
    <w:p w14:paraId="28E454D6" w14:textId="77777777" w:rsidR="006F296C" w:rsidRDefault="006F29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8A12B" w14:textId="77777777" w:rsidR="006F2F89" w:rsidRDefault="006F2F89">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D56E9" w14:textId="77777777" w:rsidR="006F2F89" w:rsidRDefault="00BE4DF8">
    <w:pPr>
      <w:ind w:left="-120"/>
      <w:jc w:val="both"/>
      <w:rPr>
        <w:rFonts w:ascii="Calibri" w:eastAsia="Calibri" w:hAnsi="Calibri" w:cs="Calibri"/>
        <w:b/>
        <w:sz w:val="40"/>
        <w:szCs w:val="40"/>
      </w:rPr>
    </w:pPr>
    <w:r>
      <w:rPr>
        <w:noProof/>
      </w:rPr>
      <w:drawing>
        <wp:anchor distT="114300" distB="114300" distL="114300" distR="114300" simplePos="0" relativeHeight="251658240" behindDoc="0" locked="0" layoutInCell="1" hidden="0" allowOverlap="1" wp14:anchorId="4035CB10" wp14:editId="07777777">
          <wp:simplePos x="0" y="0"/>
          <wp:positionH relativeFrom="column">
            <wp:posOffset>4114800</wp:posOffset>
          </wp:positionH>
          <wp:positionV relativeFrom="paragraph">
            <wp:posOffset>-304782</wp:posOffset>
          </wp:positionV>
          <wp:extent cx="1547842" cy="997267"/>
          <wp:effectExtent l="0" t="0" r="0" b="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14:paraId="12ECC7C7" w14:textId="77777777" w:rsidR="006F2F89" w:rsidRDefault="00BE4DF8">
    <w:pPr>
      <w:ind w:left="-120"/>
      <w:jc w:val="both"/>
      <w:rPr>
        <w:rFonts w:ascii="Roboto" w:eastAsia="Roboto" w:hAnsi="Roboto" w:cs="Roboto"/>
        <w:sz w:val="22"/>
        <w:szCs w:val="22"/>
      </w:rPr>
    </w:pPr>
    <w:r>
      <w:rPr>
        <w:rFonts w:ascii="Roboto" w:eastAsia="Roboto" w:hAnsi="Roboto" w:cs="Roboto"/>
        <w:b/>
        <w:sz w:val="40"/>
        <w:szCs w:val="40"/>
      </w:rPr>
      <w:t>NOTA DE PRENSA</w:t>
    </w:r>
    <w:r>
      <w:rPr>
        <w:rFonts w:ascii="Roboto" w:eastAsia="Roboto" w:hAnsi="Roboto" w:cs="Roboto"/>
        <w:sz w:val="22"/>
        <w:szCs w:val="22"/>
      </w:rPr>
      <w:t xml:space="preserve"> </w:t>
    </w:r>
  </w:p>
  <w:p w14:paraId="34CE0A41" w14:textId="77777777" w:rsidR="006F2F89" w:rsidRDefault="006F2F89">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6DB82" w14:textId="77777777" w:rsidR="006F2F89" w:rsidRDefault="006F2F89">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CD617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3337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F89"/>
    <w:rsid w:val="001C6D08"/>
    <w:rsid w:val="001E4A97"/>
    <w:rsid w:val="00384210"/>
    <w:rsid w:val="004E1D17"/>
    <w:rsid w:val="006A5F9D"/>
    <w:rsid w:val="006B6D45"/>
    <w:rsid w:val="006F296C"/>
    <w:rsid w:val="006F2F89"/>
    <w:rsid w:val="0095163A"/>
    <w:rsid w:val="009C34F3"/>
    <w:rsid w:val="009F45DD"/>
    <w:rsid w:val="00AB23B4"/>
    <w:rsid w:val="00AC475F"/>
    <w:rsid w:val="00BE4DF8"/>
    <w:rsid w:val="00F660A4"/>
    <w:rsid w:val="3D2DA872"/>
    <w:rsid w:val="53102A56"/>
    <w:rsid w:val="5F519629"/>
    <w:rsid w:val="67B5C56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30EEC"/>
  <w15:docId w15:val="{66085927-D61B-491A-84E2-E8E16DCA4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9C34F3"/>
  </w:style>
  <w:style w:type="paragraph" w:styleId="Encabezado">
    <w:name w:val="header"/>
    <w:basedOn w:val="Normal"/>
    <w:link w:val="EncabezadoCar"/>
    <w:uiPriority w:val="99"/>
    <w:semiHidden/>
    <w:unhideWhenUsed/>
    <w:rsid w:val="00F660A4"/>
    <w:pPr>
      <w:tabs>
        <w:tab w:val="center" w:pos="4680"/>
        <w:tab w:val="right" w:pos="9360"/>
      </w:tabs>
    </w:pPr>
  </w:style>
  <w:style w:type="character" w:customStyle="1" w:styleId="EncabezadoCar">
    <w:name w:val="Encabezado Car"/>
    <w:basedOn w:val="Fuentedeprrafopredeter"/>
    <w:link w:val="Encabezado"/>
    <w:uiPriority w:val="99"/>
    <w:semiHidden/>
    <w:rsid w:val="006F296C"/>
  </w:style>
  <w:style w:type="paragraph" w:styleId="Piedepgina">
    <w:name w:val="footer"/>
    <w:basedOn w:val="Normal"/>
    <w:link w:val="PiedepginaCar"/>
    <w:uiPriority w:val="99"/>
    <w:semiHidden/>
    <w:unhideWhenUsed/>
    <w:rsid w:val="00F660A4"/>
    <w:pPr>
      <w:tabs>
        <w:tab w:val="center" w:pos="4680"/>
        <w:tab w:val="right" w:pos="9360"/>
      </w:tabs>
    </w:pPr>
  </w:style>
  <w:style w:type="character" w:customStyle="1" w:styleId="PiedepginaCar">
    <w:name w:val="Pie de página Car"/>
    <w:basedOn w:val="Fuentedeprrafopredeter"/>
    <w:link w:val="Piedepgina"/>
    <w:uiPriority w:val="99"/>
    <w:semiHidden/>
    <w:rsid w:val="006F29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nac.e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juntadeandalucia.es/sites/default/files/inline-files/2022/12/Decreto%20550_2022_REGLAMENTO%20LISTA.pdf"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vamc@varenga.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85619E-BD34-4E33-8BBF-8902464E5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F3B651-1500-4569-9972-A51FD317D5BA}">
  <ds:schemaRefs>
    <ds:schemaRef ds:uri="http://schemas.microsoft.com/office/2006/documentManagement/types"/>
    <ds:schemaRef ds:uri="909e21e3-a2e2-47ca-be0e-9c3a9bef9292"/>
    <ds:schemaRef ds:uri="http://purl.org/dc/term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6e290ce1-b2e7-4ccb-948d-a290ef611fa1"/>
    <ds:schemaRef ds:uri="http://www.w3.org/XML/1998/namespace"/>
  </ds:schemaRefs>
</ds:datastoreItem>
</file>

<file path=customXml/itemProps3.xml><?xml version="1.0" encoding="utf-8"?>
<ds:datastoreItem xmlns:ds="http://schemas.openxmlformats.org/officeDocument/2006/customXml" ds:itemID="{1E410D81-6C26-46BC-91C1-D84B6DC8BE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562</Words>
  <Characters>3096</Characters>
  <Application>Microsoft Office Word</Application>
  <DocSecurity>0</DocSecurity>
  <Lines>25</Lines>
  <Paragraphs>7</Paragraphs>
  <ScaleCrop>false</ScaleCrop>
  <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Diaz Pozo</cp:lastModifiedBy>
  <cp:revision>7</cp:revision>
  <dcterms:created xsi:type="dcterms:W3CDTF">2024-03-06T15:29:00Z</dcterms:created>
  <dcterms:modified xsi:type="dcterms:W3CDTF">2024-04-02T06:41:00Z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0x0101009152DE15686E4843A3780C010A78B13A</vt:lpwstr>
  </property>
</Properties>
</file>