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F963D2" w:rsidRDefault="00F963D2" w14:paraId="1336DEF2" w14:textId="77777777">
      <w:pPr>
        <w:jc w:val="both"/>
        <w:rPr>
          <w:rFonts w:ascii="Roboto" w:hAnsi="Roboto" w:eastAsia="Roboto" w:cs="Roboto"/>
          <w:b/>
          <w:sz w:val="32"/>
          <w:szCs w:val="32"/>
        </w:rPr>
      </w:pPr>
    </w:p>
    <w:p w:rsidR="00F963D2" w:rsidRDefault="00000000" w14:paraId="1336DEF3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276" w:lineRule="auto"/>
        <w:jc w:val="center"/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 </w:t>
      </w:r>
    </w:p>
    <w:p w:rsidR="00F963D2" w:rsidRDefault="00000000" w14:paraId="1336DEF4" w14:textId="77777777">
      <w:pPr>
        <w:jc w:val="center"/>
        <w:rPr>
          <w:rFonts w:ascii="Roboto" w:hAnsi="Roboto" w:eastAsia="Roboto" w:cs="Roboto"/>
          <w:b/>
          <w:sz w:val="36"/>
          <w:szCs w:val="36"/>
        </w:rPr>
      </w:pPr>
      <w:r>
        <w:rPr>
          <w:rFonts w:ascii="Roboto" w:hAnsi="Roboto" w:eastAsia="Roboto" w:cs="Roboto"/>
          <w:b/>
          <w:sz w:val="36"/>
          <w:szCs w:val="36"/>
        </w:rPr>
        <w:t>Los verificadores acreditados para informes de emisiones de operadores aéreos actualizan su acreditación para el esquema CORSIA 2023</w:t>
      </w:r>
    </w:p>
    <w:p w:rsidR="00F963D2" w:rsidRDefault="00F963D2" w14:paraId="1336DEF5" w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line="276" w:lineRule="auto"/>
        <w:ind w:left="720"/>
        <w:jc w:val="both"/>
        <w:rPr>
          <w:rFonts w:ascii="Roboto" w:hAnsi="Roboto" w:eastAsia="Roboto" w:cs="Roboto"/>
          <w:sz w:val="22"/>
          <w:szCs w:val="22"/>
        </w:rPr>
      </w:pPr>
    </w:p>
    <w:p w:rsidR="00F963D2" w:rsidRDefault="00000000" w14:paraId="1336DEF6" w14:textId="77777777">
      <w:pPr>
        <w:numPr>
          <w:ilvl w:val="0"/>
          <w:numId w:val="1"/>
        </w:numPr>
        <w:jc w:val="both"/>
        <w:rPr>
          <w:rFonts w:ascii="Roboto" w:hAnsi="Roboto" w:eastAsia="Roboto" w:cs="Roboto"/>
          <w:b/>
          <w:sz w:val="16"/>
          <w:szCs w:val="16"/>
        </w:rPr>
      </w:pPr>
      <w:r>
        <w:rPr>
          <w:rFonts w:ascii="Roboto" w:hAnsi="Roboto" w:eastAsia="Roboto" w:cs="Roboto"/>
          <w:b/>
          <w:sz w:val="22"/>
          <w:szCs w:val="22"/>
        </w:rPr>
        <w:t xml:space="preserve">La Entidad Nacional de Acreditación (ENAC) puso a disposición de las entidades el Plan de Transición para acreditarse conforme a la nueva revisión del esquema de compensación de emisiones en el sector aéreo y alinearlo con las nuevas directrices de la OACI </w:t>
      </w:r>
    </w:p>
    <w:p w:rsidR="00F963D2" w:rsidRDefault="00F963D2" w14:paraId="1336DEF7" w14:textId="77777777">
      <w:pPr>
        <w:jc w:val="both"/>
        <w:rPr>
          <w:rFonts w:ascii="Roboto" w:hAnsi="Roboto" w:eastAsia="Roboto" w:cs="Roboto"/>
          <w:b/>
          <w:sz w:val="22"/>
          <w:szCs w:val="22"/>
        </w:rPr>
      </w:pPr>
    </w:p>
    <w:p w:rsidR="00F963D2" w:rsidRDefault="00000000" w14:paraId="1336DEF8" w14:textId="77777777">
      <w:pPr>
        <w:numPr>
          <w:ilvl w:val="0"/>
          <w:numId w:val="1"/>
        </w:numPr>
        <w:jc w:val="both"/>
        <w:rPr>
          <w:rFonts w:ascii="Roboto" w:hAnsi="Roboto" w:eastAsia="Roboto" w:cs="Roboto"/>
          <w:b/>
          <w:sz w:val="16"/>
          <w:szCs w:val="16"/>
        </w:rPr>
      </w:pPr>
      <w:r>
        <w:rPr>
          <w:rFonts w:ascii="Roboto" w:hAnsi="Roboto" w:eastAsia="Roboto" w:cs="Roboto"/>
          <w:b/>
          <w:sz w:val="22"/>
          <w:szCs w:val="22"/>
        </w:rPr>
        <w:t>SGS Tecnos y AENOR ya han actualizado su acreditación para este esquema de la industria internacional de la aviación</w:t>
      </w:r>
    </w:p>
    <w:p w:rsidR="00F963D2" w:rsidRDefault="00F963D2" w14:paraId="1336DEF9" w14:textId="77777777">
      <w:pPr>
        <w:pBdr>
          <w:top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720"/>
        <w:jc w:val="both"/>
        <w:rPr>
          <w:rFonts w:ascii="Roboto" w:hAnsi="Roboto" w:eastAsia="Roboto" w:cs="Roboto"/>
          <w:sz w:val="22"/>
          <w:szCs w:val="22"/>
        </w:rPr>
      </w:pPr>
    </w:p>
    <w:p w:rsidR="21F87991" w:rsidP="278267EA" w:rsidRDefault="21F87991" w14:paraId="063424C6" w14:textId="638FDAC5">
      <w:pPr>
        <w:pStyle w:val="Normal"/>
        <w:jc w:val="both"/>
        <w:rPr/>
      </w:pPr>
      <w:r w:rsidRPr="278267EA" w:rsidR="21F87991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Madrid, 18 de marzo de 2024.- SGS Tecnos y AENOR han </w:t>
      </w:r>
      <w:r w:rsidRPr="278267EA" w:rsidR="21F87991">
        <w:rPr>
          <w:rFonts w:ascii="Roboto" w:hAnsi="Roboto" w:eastAsia="Roboto" w:cs="Robot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actualizado su acreditación otorgada por la</w:t>
      </w:r>
      <w:hyperlink r:id="R2261dc80740f479f">
        <w:r w:rsidRPr="278267EA" w:rsidR="21F87991">
          <w:rPr>
            <w:rStyle w:val="Hipervnculo"/>
            <w:rFonts w:ascii="Roboto" w:hAnsi="Roboto" w:eastAsia="Roboto" w:cs="Roboto"/>
            <w:b w:val="1"/>
            <w:bCs w:val="1"/>
            <w:i w:val="0"/>
            <w:iCs w:val="0"/>
            <w:strike w:val="0"/>
            <w:dstrike w:val="0"/>
            <w:noProof w:val="0"/>
            <w:sz w:val="22"/>
            <w:szCs w:val="22"/>
            <w:lang w:val="es-ES"/>
          </w:rPr>
          <w:t xml:space="preserve"> </w:t>
        </w:r>
        <w:r w:rsidRPr="278267EA" w:rsidR="21F87991">
          <w:rPr>
            <w:rStyle w:val="Hipervnculo"/>
            <w:rFonts w:ascii="Roboto" w:hAnsi="Roboto" w:eastAsia="Roboto" w:cs="Roboto"/>
            <w:b w:val="1"/>
            <w:bCs w:val="1"/>
            <w:i w:val="0"/>
            <w:iCs w:val="0"/>
            <w:strike w:val="0"/>
            <w:dstrike w:val="0"/>
            <w:noProof w:val="0"/>
            <w:color w:val="0000FF"/>
            <w:sz w:val="22"/>
            <w:szCs w:val="22"/>
            <w:u w:val="none"/>
            <w:lang w:val="es-ES"/>
          </w:rPr>
          <w:t>Entidad Nacional de Acreditación (ENAC)</w:t>
        </w:r>
      </w:hyperlink>
      <w:r w:rsidRPr="278267EA" w:rsidR="21F87991">
        <w:rPr>
          <w:rFonts w:ascii="Roboto" w:hAnsi="Roboto" w:eastAsia="Roboto" w:cs="Roboto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para la nueva revisión del esquema de compensación de emisiones en el sector aéreo</w:t>
      </w:r>
      <w:r w:rsidRPr="278267EA" w:rsidR="21F87991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 CORSIA, con el fin de alinearlo con las nuevas directrices de la Organización de Aviación Civil Internacional (OACI) en relación con los requisitos relativos a la acreditación y verificación.</w:t>
      </w:r>
    </w:p>
    <w:p w:rsidR="00F963D2" w:rsidRDefault="00F963D2" w14:paraId="1336DEFB" w14:textId="77777777">
      <w:pPr>
        <w:jc w:val="both"/>
        <w:rPr>
          <w:rFonts w:ascii="Roboto" w:hAnsi="Roboto" w:eastAsia="Roboto" w:cs="Roboto"/>
          <w:sz w:val="22"/>
          <w:szCs w:val="22"/>
        </w:rPr>
      </w:pPr>
    </w:p>
    <w:p w:rsidR="00F963D2" w:rsidRDefault="00000000" w14:paraId="1336DEFC" w14:textId="77777777">
      <w:pPr>
        <w:spacing w:after="160"/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sz w:val="22"/>
          <w:szCs w:val="22"/>
        </w:rPr>
        <w:t xml:space="preserve">En este sentido, ENAC elaboró e hizo público el pasado mes de diciembre, el </w:t>
      </w:r>
      <w:r>
        <w:rPr>
          <w:rFonts w:ascii="Roboto" w:hAnsi="Roboto" w:eastAsia="Roboto" w:cs="Roboto"/>
          <w:b/>
          <w:sz w:val="22"/>
          <w:szCs w:val="22"/>
        </w:rPr>
        <w:t>Plan de Transición para la gestión de este cambio, que, entre otros, incluye la referencia a las normas ISO/IEC 17029 e ISO 14065 como normas de acreditación de los verificadores</w:t>
      </w:r>
      <w:r>
        <w:rPr>
          <w:rFonts w:ascii="Roboto" w:hAnsi="Roboto" w:eastAsia="Roboto" w:cs="Roboto"/>
          <w:sz w:val="22"/>
          <w:szCs w:val="22"/>
        </w:rPr>
        <w:t>, así como la ISO 14064-3 para la actividad de verificación, y que ha culminado con la actualización de las acreditaciones concedidas ahora.</w:t>
      </w:r>
    </w:p>
    <w:p w:rsidR="00F963D2" w:rsidRDefault="00000000" w14:paraId="1336DEFD" w14:textId="77777777">
      <w:pPr>
        <w:spacing w:after="160"/>
        <w:jc w:val="both"/>
        <w:rPr>
          <w:rFonts w:ascii="Roboto" w:hAnsi="Roboto" w:eastAsia="Roboto" w:cs="Roboto"/>
          <w:b/>
          <w:sz w:val="22"/>
          <w:szCs w:val="22"/>
        </w:rPr>
      </w:pPr>
      <w:r>
        <w:rPr>
          <w:rFonts w:ascii="Roboto" w:hAnsi="Roboto" w:eastAsia="Roboto" w:cs="Roboto"/>
          <w:b/>
          <w:sz w:val="22"/>
          <w:szCs w:val="22"/>
        </w:rPr>
        <w:t>CORSIA, un esquema de la aviación internacional para hacer frente al cambio climático</w:t>
      </w:r>
    </w:p>
    <w:p w:rsidR="00F963D2" w:rsidRDefault="00000000" w14:paraId="1336DEFE" w14:textId="77777777">
      <w:pPr>
        <w:spacing w:after="160"/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sz w:val="22"/>
          <w:szCs w:val="22"/>
        </w:rPr>
        <w:t xml:space="preserve">El esquema de la industria internacional de la aviación CORSIA, que cuenta con la participación de 126 países, incluyendo a España, tiene como principal objetivo, dentro del ámbito de la lucha contra el cambio climático, </w:t>
      </w:r>
      <w:r>
        <w:rPr>
          <w:rFonts w:ascii="Roboto" w:hAnsi="Roboto" w:eastAsia="Roboto" w:cs="Roboto"/>
          <w:b/>
          <w:sz w:val="22"/>
          <w:szCs w:val="22"/>
        </w:rPr>
        <w:t>limitar y reducir el impacto de las emisiones de CO2 de la aviación internacional a través de mecanismos de compensación</w:t>
      </w:r>
      <w:r>
        <w:rPr>
          <w:rFonts w:ascii="Roboto" w:hAnsi="Roboto" w:eastAsia="Roboto" w:cs="Roboto"/>
          <w:sz w:val="22"/>
          <w:szCs w:val="22"/>
        </w:rPr>
        <w:t>. En concreto, persigue que el crecimiento de esta industria no conlleve un aumento añadido de las emisiones de CO2. Para ello, además de otras medidas como el desarrollo y uso de combustibles sostenibles y medidas de carácter operativo y de desarrollos tecnológicos, el esquema incluye la creación de un mercado internacional de créditos de carbono con el objeto de facilitar la compensación de las emisiones generadas por los vuelos.</w:t>
      </w:r>
    </w:p>
    <w:p w:rsidR="00F963D2" w:rsidRDefault="00000000" w14:paraId="1336DEFF" w14:textId="77777777">
      <w:pPr>
        <w:spacing w:after="160"/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sz w:val="22"/>
          <w:szCs w:val="22"/>
        </w:rPr>
        <w:t xml:space="preserve">Para aportar las máximas garantías a este esquema, </w:t>
      </w:r>
      <w:r>
        <w:rPr>
          <w:rFonts w:ascii="Roboto" w:hAnsi="Roboto" w:eastAsia="Roboto" w:cs="Roboto"/>
          <w:b/>
          <w:sz w:val="22"/>
          <w:szCs w:val="22"/>
        </w:rPr>
        <w:t>el informe anual de emisiones del operador debe ser verificado por una entidad acreditada</w:t>
      </w:r>
      <w:r>
        <w:rPr>
          <w:rFonts w:ascii="Roboto" w:hAnsi="Roboto" w:eastAsia="Roboto" w:cs="Roboto"/>
          <w:sz w:val="22"/>
          <w:szCs w:val="22"/>
        </w:rPr>
        <w:t xml:space="preserve"> </w:t>
      </w:r>
      <w:r>
        <w:rPr>
          <w:rFonts w:ascii="Roboto" w:hAnsi="Roboto" w:eastAsia="Roboto" w:cs="Roboto"/>
          <w:b/>
          <w:sz w:val="22"/>
          <w:szCs w:val="22"/>
        </w:rPr>
        <w:t>por el organismo nacional de acreditación de cada país participante</w:t>
      </w:r>
      <w:r>
        <w:rPr>
          <w:rFonts w:ascii="Roboto" w:hAnsi="Roboto" w:eastAsia="Roboto" w:cs="Roboto"/>
          <w:sz w:val="22"/>
          <w:szCs w:val="22"/>
        </w:rPr>
        <w:t>, ENAC en el caso de España.</w:t>
      </w:r>
    </w:p>
    <w:p w:rsidR="00F963D2" w:rsidRDefault="00000000" w14:paraId="1336DF00" w14:textId="77777777">
      <w:pPr>
        <w:spacing w:after="160"/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sz w:val="22"/>
          <w:szCs w:val="22"/>
        </w:rPr>
        <w:t>Se trata de la primera actividad de evaluación y control en la que se exige la acreditación dentro del esquema; sin embargo, se prevé que a corto plazo se amplíe este requisito a otras actividades como el propio mecanismo de cancelación de las unidades de emisión.</w:t>
      </w:r>
    </w:p>
    <w:p w:rsidR="00F963D2" w:rsidRDefault="00F963D2" w14:paraId="1336DF01" w14:textId="77777777">
      <w:pPr>
        <w:jc w:val="both"/>
        <w:rPr>
          <w:rFonts w:ascii="Roboto" w:hAnsi="Roboto" w:eastAsia="Roboto" w:cs="Roboto"/>
          <w:sz w:val="22"/>
          <w:szCs w:val="22"/>
        </w:rPr>
      </w:pPr>
    </w:p>
    <w:p w:rsidR="00F963D2" w:rsidRDefault="00F963D2" w14:paraId="1336DF02" w14:textId="77777777">
      <w:pPr>
        <w:jc w:val="both"/>
        <w:rPr>
          <w:rFonts w:ascii="Roboto" w:hAnsi="Roboto" w:eastAsia="Roboto" w:cs="Roboto"/>
          <w:sz w:val="22"/>
          <w:szCs w:val="22"/>
        </w:rPr>
      </w:pPr>
    </w:p>
    <w:p w:rsidR="00F963D2" w:rsidRDefault="00F963D2" w14:paraId="1336DF03" w14:textId="77777777">
      <w:pPr>
        <w:jc w:val="both"/>
        <w:rPr>
          <w:rFonts w:ascii="Roboto" w:hAnsi="Roboto" w:eastAsia="Roboto" w:cs="Roboto"/>
          <w:b/>
          <w:sz w:val="22"/>
          <w:szCs w:val="22"/>
          <w:u w:val="single"/>
        </w:rPr>
      </w:pPr>
    </w:p>
    <w:p w:rsidR="00F963D2" w:rsidRDefault="00F963D2" w14:paraId="1336DF04" w14:textId="77777777">
      <w:pPr>
        <w:jc w:val="both"/>
        <w:rPr>
          <w:rFonts w:ascii="Roboto" w:hAnsi="Roboto" w:eastAsia="Roboto" w:cs="Roboto"/>
          <w:b/>
          <w:sz w:val="22"/>
          <w:szCs w:val="22"/>
          <w:u w:val="single"/>
        </w:rPr>
      </w:pPr>
    </w:p>
    <w:p w:rsidR="00F963D2" w:rsidRDefault="00000000" w14:paraId="1336DF05" w14:textId="77777777">
      <w:pPr>
        <w:jc w:val="both"/>
        <w:rPr>
          <w:rFonts w:ascii="Roboto" w:hAnsi="Roboto" w:eastAsia="Roboto" w:cs="Roboto"/>
          <w:b/>
          <w:color w:val="E83544"/>
          <w:sz w:val="22"/>
          <w:szCs w:val="22"/>
        </w:rPr>
      </w:pPr>
      <w:r>
        <w:rPr>
          <w:rFonts w:ascii="Roboto" w:hAnsi="Roboto" w:eastAsia="Roboto" w:cs="Roboto"/>
          <w:b/>
          <w:color w:val="E83544"/>
          <w:sz w:val="22"/>
          <w:szCs w:val="22"/>
        </w:rPr>
        <w:t>Sobre ENAC</w:t>
      </w:r>
    </w:p>
    <w:p w:rsidR="00F963D2" w:rsidRDefault="00F963D2" w14:paraId="1336DF06" w14:textId="77777777">
      <w:pPr>
        <w:jc w:val="both"/>
        <w:rPr>
          <w:rFonts w:ascii="Roboto" w:hAnsi="Roboto" w:eastAsia="Roboto" w:cs="Roboto"/>
          <w:b/>
          <w:color w:val="E83544"/>
          <w:sz w:val="22"/>
          <w:szCs w:val="22"/>
        </w:rPr>
      </w:pPr>
    </w:p>
    <w:p w:rsidR="00F963D2" w:rsidRDefault="00000000" w14:paraId="1336DF07" w14:textId="77777777">
      <w:pPr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sz w:val="22"/>
          <w:szCs w:val="22"/>
        </w:rPr>
        <w:t>La Entidad Nacional de Acreditación – ENAC – es la entidad designada por el Gobierno para operar en España como el único Organismo Nacional de Acreditación, en aplicación del Reglamento (CE) nº765/2008 del Parlamento Europeo que regula el funcionamiento de la acreditación en Europa.</w:t>
      </w:r>
    </w:p>
    <w:p w:rsidR="00F963D2" w:rsidRDefault="00F963D2" w14:paraId="1336DF08" w14:textId="77777777">
      <w:pPr>
        <w:jc w:val="both"/>
        <w:rPr>
          <w:rFonts w:ascii="Roboto" w:hAnsi="Roboto" w:eastAsia="Roboto" w:cs="Roboto"/>
          <w:sz w:val="22"/>
          <w:szCs w:val="22"/>
        </w:rPr>
      </w:pPr>
    </w:p>
    <w:p w:rsidR="00F963D2" w:rsidRDefault="00000000" w14:paraId="1336DF09" w14:textId="77777777">
      <w:pPr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:rsidR="00F963D2" w:rsidRDefault="00000000" w14:paraId="1336DF0A" w14:textId="77777777">
      <w:pPr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sz w:val="22"/>
          <w:szCs w:val="22"/>
        </w:rPr>
        <w:t> </w:t>
      </w:r>
    </w:p>
    <w:p w:rsidR="00F963D2" w:rsidRDefault="00000000" w14:paraId="1336DF0B" w14:textId="77777777">
      <w:pPr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:rsidR="00F963D2" w:rsidRDefault="00F963D2" w14:paraId="1336DF0C" w14:textId="77777777">
      <w:pPr>
        <w:jc w:val="both"/>
        <w:rPr>
          <w:rFonts w:ascii="Roboto" w:hAnsi="Roboto" w:eastAsia="Roboto" w:cs="Roboto"/>
          <w:sz w:val="22"/>
          <w:szCs w:val="22"/>
        </w:rPr>
      </w:pPr>
    </w:p>
    <w:p w:rsidR="00F963D2" w:rsidRDefault="00F963D2" w14:paraId="1336DF0D" w14:textId="77777777">
      <w:pPr>
        <w:jc w:val="both"/>
        <w:rPr>
          <w:rFonts w:ascii="Roboto" w:hAnsi="Roboto" w:eastAsia="Roboto" w:cs="Roboto"/>
          <w:sz w:val="22"/>
          <w:szCs w:val="22"/>
        </w:rPr>
      </w:pPr>
    </w:p>
    <w:p w:rsidR="00F963D2" w:rsidRDefault="00000000" w14:paraId="1336DF0E" w14:textId="77777777">
      <w:pPr>
        <w:pBdr>
          <w:bottom w:val="single" w:color="000000" w:sz="12" w:space="1"/>
        </w:pBdr>
        <w:jc w:val="both"/>
        <w:rPr>
          <w:rFonts w:ascii="Roboto" w:hAnsi="Roboto" w:eastAsia="Roboto" w:cs="Roboto"/>
          <w:color w:val="E83544"/>
          <w:sz w:val="22"/>
          <w:szCs w:val="22"/>
        </w:rPr>
      </w:pPr>
      <w:hyperlink r:id="rId11">
        <w:r>
          <w:rPr>
            <w:rFonts w:ascii="Roboto" w:hAnsi="Roboto" w:eastAsia="Roboto" w:cs="Roboto"/>
            <w:color w:val="E83544"/>
            <w:sz w:val="22"/>
            <w:szCs w:val="22"/>
            <w:u w:val="single"/>
          </w:rPr>
          <w:t>www.enac.es</w:t>
        </w:r>
      </w:hyperlink>
      <w:r>
        <w:rPr>
          <w:rFonts w:ascii="Roboto" w:hAnsi="Roboto" w:eastAsia="Roboto" w:cs="Roboto"/>
          <w:color w:val="E83544"/>
          <w:sz w:val="22"/>
          <w:szCs w:val="22"/>
        </w:rPr>
        <w:t xml:space="preserve"> </w:t>
      </w:r>
    </w:p>
    <w:p w:rsidR="00F963D2" w:rsidRDefault="00F963D2" w14:paraId="1336DF0F" w14:textId="77777777">
      <w:pPr>
        <w:pBdr>
          <w:bottom w:val="single" w:color="000000" w:sz="12" w:space="1"/>
        </w:pBdr>
        <w:jc w:val="both"/>
        <w:rPr>
          <w:rFonts w:ascii="Roboto" w:hAnsi="Roboto" w:eastAsia="Roboto" w:cs="Roboto"/>
          <w:color w:val="E83544"/>
          <w:sz w:val="22"/>
          <w:szCs w:val="22"/>
        </w:rPr>
      </w:pPr>
    </w:p>
    <w:p w:rsidR="00F963D2" w:rsidRDefault="00000000" w14:paraId="1336DF10" w14:textId="77777777">
      <w:pPr>
        <w:pBdr>
          <w:bottom w:val="single" w:color="000000" w:sz="12" w:space="1"/>
        </w:pBdr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color w:val="0000FF"/>
          <w:sz w:val="22"/>
          <w:szCs w:val="22"/>
        </w:rPr>
        <w:t xml:space="preserve"> </w:t>
      </w:r>
      <w:r>
        <w:rPr>
          <w:rFonts w:ascii="Roboto" w:hAnsi="Roboto" w:eastAsia="Roboto" w:cs="Roboto"/>
          <w:noProof/>
          <w:color w:val="0000FF"/>
          <w:sz w:val="22"/>
          <w:szCs w:val="22"/>
        </w:rPr>
        <w:drawing>
          <wp:inline distT="114300" distB="114300" distL="114300" distR="114300" wp14:anchorId="1336DF1D" wp14:editId="1336DF1E">
            <wp:extent cx="318809" cy="318809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809" cy="318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hAnsi="Roboto" w:eastAsia="Roboto" w:cs="Roboto"/>
          <w:color w:val="0000FF"/>
          <w:sz w:val="22"/>
          <w:szCs w:val="22"/>
        </w:rPr>
        <w:t xml:space="preserve">  </w:t>
      </w:r>
      <w:r>
        <w:rPr>
          <w:rFonts w:ascii="Roboto" w:hAnsi="Roboto" w:eastAsia="Roboto" w:cs="Roboto"/>
          <w:noProof/>
          <w:color w:val="0000FF"/>
          <w:sz w:val="22"/>
          <w:szCs w:val="22"/>
        </w:rPr>
        <w:drawing>
          <wp:inline distT="0" distB="0" distL="0" distR="0" wp14:anchorId="1336DF1F" wp14:editId="1336DF20">
            <wp:extent cx="304800" cy="304800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63D2" w:rsidRDefault="00F963D2" w14:paraId="1336DF11" w14:textId="77777777">
      <w:pPr>
        <w:pBdr>
          <w:bottom w:val="single" w:color="000000" w:sz="12" w:space="1"/>
        </w:pBdr>
        <w:jc w:val="both"/>
        <w:rPr>
          <w:rFonts w:ascii="Roboto" w:hAnsi="Roboto" w:eastAsia="Roboto" w:cs="Roboto"/>
          <w:color w:val="E83544"/>
          <w:sz w:val="22"/>
          <w:szCs w:val="22"/>
        </w:rPr>
      </w:pPr>
    </w:p>
    <w:p w:rsidR="00F963D2" w:rsidRDefault="00F963D2" w14:paraId="1336DF12" w14:textId="77777777">
      <w:pPr>
        <w:jc w:val="both"/>
        <w:rPr>
          <w:rFonts w:ascii="Roboto" w:hAnsi="Roboto" w:eastAsia="Roboto" w:cs="Roboto"/>
          <w:color w:val="E83544"/>
          <w:sz w:val="22"/>
          <w:szCs w:val="22"/>
        </w:rPr>
      </w:pPr>
    </w:p>
    <w:p w:rsidR="00F963D2" w:rsidRDefault="00000000" w14:paraId="1336DF13" w14:textId="77777777">
      <w:pPr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sz w:val="22"/>
          <w:szCs w:val="22"/>
        </w:rPr>
        <w:t>Para más información sobre la nota de prensa, resolver dudas o gestionar entrevistas</w:t>
      </w:r>
    </w:p>
    <w:p w:rsidR="00F963D2" w:rsidRDefault="00000000" w14:paraId="1336DF14" w14:textId="77777777">
      <w:pPr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sz w:val="22"/>
          <w:szCs w:val="22"/>
        </w:rPr>
        <w:t>Eva Martín</w:t>
      </w:r>
    </w:p>
    <w:p w:rsidR="00F963D2" w:rsidRDefault="00000000" w14:paraId="1336DF15" w14:textId="77777777">
      <w:pPr>
        <w:jc w:val="both"/>
        <w:rPr>
          <w:rFonts w:ascii="Roboto" w:hAnsi="Roboto" w:eastAsia="Roboto" w:cs="Roboto"/>
          <w:sz w:val="22"/>
          <w:szCs w:val="22"/>
        </w:rPr>
      </w:pPr>
      <w:r>
        <w:rPr>
          <w:rFonts w:ascii="Roboto" w:hAnsi="Roboto" w:eastAsia="Roboto" w:cs="Roboto"/>
          <w:sz w:val="22"/>
          <w:szCs w:val="22"/>
        </w:rPr>
        <w:t xml:space="preserve">Tfno. 628 17 49 01 / </w:t>
      </w:r>
      <w:r>
        <w:rPr>
          <w:rFonts w:ascii="Roboto" w:hAnsi="Roboto" w:eastAsia="Roboto" w:cs="Roboto"/>
          <w:color w:val="E83544"/>
          <w:sz w:val="22"/>
          <w:szCs w:val="22"/>
        </w:rPr>
        <w:t xml:space="preserve"> </w:t>
      </w:r>
      <w:hyperlink r:id="rId14">
        <w:r>
          <w:rPr>
            <w:rFonts w:ascii="Roboto" w:hAnsi="Roboto" w:eastAsia="Roboto" w:cs="Roboto"/>
            <w:color w:val="E83544"/>
            <w:sz w:val="22"/>
            <w:szCs w:val="22"/>
            <w:u w:val="single"/>
          </w:rPr>
          <w:t>evamc@varenga.es</w:t>
        </w:r>
      </w:hyperlink>
    </w:p>
    <w:p w:rsidR="00F963D2" w:rsidRDefault="00F963D2" w14:paraId="1336DF16" w14:textId="77777777">
      <w:pPr>
        <w:spacing w:after="200" w:line="276" w:lineRule="auto"/>
        <w:rPr>
          <w:rFonts w:ascii="Roboto" w:hAnsi="Roboto" w:eastAsia="Roboto" w:cs="Roboto"/>
          <w:sz w:val="22"/>
          <w:szCs w:val="22"/>
        </w:rPr>
      </w:pPr>
    </w:p>
    <w:p w:rsidR="00F963D2" w:rsidRDefault="00F963D2" w14:paraId="1336DF17" w14:textId="77777777">
      <w:pPr>
        <w:rPr>
          <w:rFonts w:ascii="Calibri" w:hAnsi="Calibri" w:eastAsia="Calibri" w:cs="Calibri"/>
          <w:b/>
          <w:sz w:val="22"/>
          <w:szCs w:val="22"/>
          <w:u w:val="single"/>
        </w:rPr>
      </w:pPr>
    </w:p>
    <w:p w:rsidR="00F963D2" w:rsidRDefault="00F963D2" w14:paraId="1336DF18" w14:textId="77777777"/>
    <w:p w:rsidR="00F963D2" w:rsidRDefault="00F963D2" w14:paraId="1336DF19" w14:textId="77777777"/>
    <w:p w:rsidR="00F963D2" w:rsidRDefault="00F963D2" w14:paraId="1336DF1A" w14:textId="77777777">
      <w:pPr>
        <w:shd w:val="clear" w:color="auto" w:fill="FFFFFF"/>
        <w:rPr>
          <w:rFonts w:ascii="Arial" w:hAnsi="Arial" w:eastAsia="Arial" w:cs="Arial"/>
          <w:b/>
          <w:color w:val="404040"/>
          <w:sz w:val="22"/>
          <w:szCs w:val="22"/>
        </w:rPr>
      </w:pPr>
    </w:p>
    <w:p w:rsidR="00F963D2" w:rsidRDefault="00F963D2" w14:paraId="1336DF1B" w14:textId="77777777"/>
    <w:p w:rsidR="00F963D2" w:rsidRDefault="00F963D2" w14:paraId="1336DF1C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highlight w:val="white"/>
        </w:rPr>
      </w:pPr>
    </w:p>
    <w:sectPr w:rsidR="00F963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4661" w:rsidRDefault="004D4661" w14:paraId="21E35704" w14:textId="77777777">
      <w:r>
        <w:separator/>
      </w:r>
    </w:p>
  </w:endnote>
  <w:endnote w:type="continuationSeparator" w:id="0">
    <w:p w:rsidR="004D4661" w:rsidRDefault="004D4661" w14:paraId="493D2B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3D2" w:rsidRDefault="00F963D2" w14:paraId="1336DF2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3D2" w:rsidRDefault="00000000" w14:paraId="1336DF26" w14:textId="788670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387B">
      <w:rPr>
        <w:noProof/>
        <w:color w:val="000000"/>
      </w:rPr>
      <w:t>1</w:t>
    </w:r>
    <w:r>
      <w:rPr>
        <w:color w:val="000000"/>
      </w:rPr>
      <w:fldChar w:fldCharType="end"/>
    </w:r>
  </w:p>
  <w:p w:rsidR="00F963D2" w:rsidRDefault="00F963D2" w14:paraId="1336DF27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3D2" w:rsidRDefault="00F963D2" w14:paraId="1336DF29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4661" w:rsidRDefault="004D4661" w14:paraId="2FB9986A" w14:textId="77777777">
      <w:r>
        <w:separator/>
      </w:r>
    </w:p>
  </w:footnote>
  <w:footnote w:type="continuationSeparator" w:id="0">
    <w:p w:rsidR="004D4661" w:rsidRDefault="004D4661" w14:paraId="19D3C0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3D2" w:rsidRDefault="00F963D2" w14:paraId="1336DF21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963D2" w:rsidRDefault="00000000" w14:paraId="1336DF22" w14:textId="77777777">
    <w:pPr>
      <w:ind w:left="-120"/>
      <w:jc w:val="both"/>
      <w:rPr>
        <w:rFonts w:ascii="Calibri" w:hAnsi="Calibri" w:eastAsia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336DF2A" wp14:editId="1336DF2B">
          <wp:simplePos x="0" y="0"/>
          <wp:positionH relativeFrom="column">
            <wp:posOffset>4114800</wp:posOffset>
          </wp:positionH>
          <wp:positionV relativeFrom="paragraph">
            <wp:posOffset>-304791</wp:posOffset>
          </wp:positionV>
          <wp:extent cx="1547842" cy="997267"/>
          <wp:effectExtent l="0" t="0" r="0" b="0"/>
          <wp:wrapSquare wrapText="bothSides" distT="114300" distB="11430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963D2" w:rsidRDefault="00000000" w14:paraId="1336DF23" w14:textId="77777777">
    <w:pPr>
      <w:ind w:left="-120"/>
      <w:jc w:val="both"/>
      <w:rPr>
        <w:rFonts w:ascii="Roboto" w:hAnsi="Roboto" w:eastAsia="Roboto" w:cs="Roboto"/>
        <w:sz w:val="22"/>
        <w:szCs w:val="22"/>
      </w:rPr>
    </w:pPr>
    <w:r>
      <w:rPr>
        <w:rFonts w:ascii="Roboto" w:hAnsi="Roboto" w:eastAsia="Roboto" w:cs="Roboto"/>
        <w:b/>
        <w:sz w:val="40"/>
        <w:szCs w:val="40"/>
      </w:rPr>
      <w:t>NOTA DE PRENSA</w:t>
    </w:r>
    <w:r>
      <w:rPr>
        <w:rFonts w:ascii="Roboto" w:hAnsi="Roboto" w:eastAsia="Roboto" w:cs="Roboto"/>
        <w:sz w:val="22"/>
        <w:szCs w:val="22"/>
      </w:rPr>
      <w:t xml:space="preserve"> </w:t>
    </w:r>
  </w:p>
  <w:p w:rsidR="00F963D2" w:rsidRDefault="00F963D2" w14:paraId="1336DF2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3D2" w:rsidRDefault="00F963D2" w14:paraId="1336DF28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7A24"/>
    <w:multiLevelType w:val="multilevel"/>
    <w:tmpl w:val="02D28D0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856891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D2"/>
    <w:rsid w:val="00000000"/>
    <w:rsid w:val="004411E0"/>
    <w:rsid w:val="004D4661"/>
    <w:rsid w:val="005F14E8"/>
    <w:rsid w:val="0067387B"/>
    <w:rsid w:val="007F00B1"/>
    <w:rsid w:val="00CF6D27"/>
    <w:rsid w:val="00F963D2"/>
    <w:rsid w:val="21F87991"/>
    <w:rsid w:val="278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DEF2"/>
  <w15:docId w15:val="{33ABC3F8-572B-483E-A458-C1C88F9675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3"/>
    <w:rsid w:val="001A7BE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rsid w:val="007A7D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BA4621"/>
  </w:style>
  <w:style w:type="paragraph" w:styleId="Encabezado">
    <w:name w:val="header"/>
    <w:basedOn w:val="Normal"/>
    <w:link w:val="EncabezadoCar"/>
    <w:uiPriority w:val="99"/>
    <w:semiHidden/>
    <w:unhideWhenUsed/>
    <w:rsid w:val="00FE5E62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FE5E62"/>
  </w:style>
  <w:style w:type="paragraph" w:styleId="Piedepgina">
    <w:name w:val="footer"/>
    <w:basedOn w:val="Normal"/>
    <w:link w:val="PiedepginaCar"/>
    <w:uiPriority w:val="99"/>
    <w:semiHidden/>
    <w:unhideWhenUsed/>
    <w:rsid w:val="00FE5E62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FE5E62"/>
  </w:style>
  <w:style w:type="table" w:styleId="TableNormal2" w:customStyle="1">
    <w:name w:val="Table Normal2"/>
    <w:rsid w:val="007A7DB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11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11E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41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enac.es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evamc@varenga.es" TargetMode="External" Id="rId14" /><Relationship Type="http://schemas.microsoft.com/office/2011/relationships/people" Target="people.xml" Id="rId22" /><Relationship Type="http://schemas.openxmlformats.org/officeDocument/2006/relationships/hyperlink" Target="https://www.enac.es/" TargetMode="External" Id="R2261dc80740f479f" /><Relationship Type="http://schemas.openxmlformats.org/officeDocument/2006/relationships/glossaryDocument" Target="glossary/document.xml" Id="Raaaab47f62234ad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b4dc-2487-415b-90aa-e11f0984ea36}"/>
      </w:docPartPr>
      <w:docPartBody>
        <w:p w14:paraId="21F8799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Wqa0yiUa8jZGklpGoRB0VePt+g==">CgMxLjAaGgoBMBIVChMIBCoPCgtBQUFCSW1HRDFaSRABIs0CCgtBQUFCSW1HRDFaSRKZAgoLQUFBQkltR0QxWkkSC0FBQUJJbUdEMVpJGg0KCXRleHQvaHRtbBIAIg4KCnRleHQvcGxhaW4SACobIhUxMTE5ODY3OTU5NjMxMTE2NDAzNDAoADgAMNu4us3hMTiJgbvN4TFKfwokYXBwbGljYXRpb24vdm5kLmdvb2dsZS1hcHBzLmRvY3MubWRzGlfC19rkAVEaTwpLCkVMYSBFbnRpZGFkIE5hY2lvbmFsIGRlIEFjcmVkaXRhY2nDs24gKEVOQUMpIGluZm9ybWEgcXVlIGxhcyBlbnRpZGFkZXMQARgAEAFaDGxudzkxbHQ2NXI2bHICIAB4AIIBFHN1Z2dlc3QucDRrNnJ4dGMya3I3mgEGCAAQABgAGNu4us3hMSCJgbvN4TFCFHN1Z2dlc3QucDRrNnJ4dGMya3I3IswBCgtBQUFCSW1HRDFZOBKYAQoLQUFBQkltR0QxWTgSC0FBQUJJbUdEMVk4Gg0KCXRleHQvaHRtbBIAIg4KCnRleHQvcGxhaW4SACobIhUxMTE5ODY3OTU5NjMxMTE2NDAzNDAoADgAMKnmr83hMTip5q/N4TFaDGpzNjVqNmV1ZGZ3ZnICIAB4AIIBFHN1Z2dlc3QuejN5bnFwcjF0MGphmgEGCAAQABgAGKnmr83hMSCp5q/N4TFCFHN1Z2dlc3QuejN5bnFwcjF0MGphOABqIwoUc3VnZ2VzdC5zZ3A4czVwYzh2OHMSC0V2YSBNYXJ0w61uaiMKFHN1Z2dlc3QucDRrNnJ4dGMya3I3EgtFdmEgTWFydMOtbmojChRzdWdnZXN0LnozeW5xcHIxdDBqYRILRXZhIE1hcnTDrW5qIwoUc3VnZ2VzdC5lM21mbTZ3aWRvemsSC0V2YSBNYXJ0w61uciExZVJpMUZwYTRTSFdQQURvSWlYLWVVaUhCUlZsaGZmaG0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6" ma:contentTypeDescription="Crear nuevo documento." ma:contentTypeScope="" ma:versionID="23f9a5496e668bb688b97de78c6f6cf9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17dc88a39ba0aa5236fa82a1cb1aae8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2F5F08-1A3B-4652-939D-AF6F40A69CC1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customXml/itemProps3.xml><?xml version="1.0" encoding="utf-8"?>
<ds:datastoreItem xmlns:ds="http://schemas.openxmlformats.org/officeDocument/2006/customXml" ds:itemID="{658DD3C8-FE63-40F7-A77B-C60E612DE1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88DCC-076D-4A67-AB51-8AD99BC32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Soledad Pacheco Alonso</dc:creator>
  <lastModifiedBy>Eva Martín</lastModifiedBy>
  <revision>7</revision>
  <dcterms:created xsi:type="dcterms:W3CDTF">2024-02-29T19:18:00.0000000Z</dcterms:created>
  <dcterms:modified xsi:type="dcterms:W3CDTF">2024-03-18T10:40:44.2737324Z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