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30B33" w14:textId="100A3A37" w:rsidR="00300B93" w:rsidRDefault="00300B93" w:rsidP="642ABC11">
      <w:pPr>
        <w:jc w:val="both"/>
        <w:rPr>
          <w:rFonts w:ascii="Roboto" w:eastAsia="Roboto" w:hAnsi="Roboto" w:cs="Roboto"/>
          <w:b/>
          <w:bCs/>
          <w:sz w:val="32"/>
          <w:szCs w:val="32"/>
        </w:rPr>
      </w:pPr>
    </w:p>
    <w:p w14:paraId="5F24908F" w14:textId="3F70E901" w:rsidR="642ABC11" w:rsidRDefault="642ABC11" w:rsidP="642ABC11">
      <w:pPr>
        <w:jc w:val="both"/>
        <w:rPr>
          <w:rFonts w:ascii="Roboto" w:eastAsia="Roboto" w:hAnsi="Roboto" w:cs="Roboto"/>
          <w:b/>
          <w:bCs/>
          <w:sz w:val="32"/>
          <w:szCs w:val="32"/>
        </w:rPr>
      </w:pPr>
    </w:p>
    <w:p w14:paraId="71330B34" w14:textId="77777777" w:rsidR="00300B93" w:rsidRDefault="007012C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both"/>
        <w:rPr>
          <w:rFonts w:ascii="Roboto" w:eastAsia="Roboto" w:hAnsi="Roboto" w:cs="Roboto"/>
          <w:sz w:val="22"/>
          <w:szCs w:val="22"/>
        </w:rPr>
      </w:pPr>
      <w:r>
        <w:rPr>
          <w:rFonts w:ascii="Roboto" w:eastAsia="Roboto" w:hAnsi="Roboto" w:cs="Roboto"/>
          <w:b/>
          <w:sz w:val="22"/>
          <w:szCs w:val="22"/>
          <w:u w:val="single"/>
        </w:rPr>
        <w:t xml:space="preserve">Día Mundial de la Eficiencia Energética </w:t>
      </w:r>
      <w:r>
        <w:rPr>
          <w:rFonts w:ascii="Roboto" w:eastAsia="Roboto" w:hAnsi="Roboto" w:cs="Roboto"/>
          <w:sz w:val="22"/>
          <w:szCs w:val="22"/>
        </w:rPr>
        <w:t xml:space="preserve"> </w:t>
      </w:r>
    </w:p>
    <w:p w14:paraId="71330B35" w14:textId="77777777" w:rsidR="00300B93" w:rsidRDefault="007012C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jc w:val="center"/>
        <w:rPr>
          <w:rFonts w:ascii="Roboto" w:eastAsia="Roboto" w:hAnsi="Roboto" w:cs="Roboto"/>
        </w:rPr>
      </w:pPr>
      <w:r>
        <w:rPr>
          <w:rFonts w:ascii="Roboto" w:eastAsia="Roboto" w:hAnsi="Roboto" w:cs="Roboto"/>
        </w:rPr>
        <w:t xml:space="preserve"> </w:t>
      </w:r>
    </w:p>
    <w:p w14:paraId="71330B36" w14:textId="3D1E2FF1" w:rsidR="00300B93" w:rsidRDefault="007012C5" w:rsidP="642ABC11">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276" w:lineRule="auto"/>
        <w:jc w:val="center"/>
        <w:rPr>
          <w:rFonts w:ascii="Roboto" w:eastAsia="Roboto" w:hAnsi="Roboto" w:cs="Roboto"/>
          <w:b/>
          <w:bCs/>
          <w:sz w:val="34"/>
          <w:szCs w:val="34"/>
        </w:rPr>
      </w:pPr>
      <w:r w:rsidRPr="642ABC11">
        <w:rPr>
          <w:rFonts w:ascii="Roboto" w:eastAsia="Roboto" w:hAnsi="Roboto" w:cs="Roboto"/>
          <w:b/>
          <w:bCs/>
          <w:sz w:val="34"/>
          <w:szCs w:val="34"/>
        </w:rPr>
        <w:t>Los servicios acreditados por ENAC ayudan a alcanzar mayor eficiencia y ahorro energético</w:t>
      </w:r>
    </w:p>
    <w:p w14:paraId="71330B37" w14:textId="77777777" w:rsidR="00300B93" w:rsidRDefault="007012C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720"/>
        <w:jc w:val="both"/>
        <w:rPr>
          <w:rFonts w:ascii="Roboto" w:eastAsia="Roboto" w:hAnsi="Roboto" w:cs="Roboto"/>
          <w:sz w:val="22"/>
          <w:szCs w:val="22"/>
        </w:rPr>
      </w:pPr>
      <w:r>
        <w:rPr>
          <w:rFonts w:ascii="Roboto" w:eastAsia="Roboto" w:hAnsi="Roboto" w:cs="Roboto"/>
          <w:sz w:val="22"/>
          <w:szCs w:val="22"/>
        </w:rPr>
        <w:t xml:space="preserve"> </w:t>
      </w:r>
    </w:p>
    <w:p w14:paraId="71330B38" w14:textId="77777777" w:rsidR="00300B93" w:rsidRDefault="007012C5">
      <w:pPr>
        <w:numPr>
          <w:ilvl w:val="0"/>
          <w:numId w:val="1"/>
        </w:numPr>
        <w:pBdr>
          <w:top w:val="none" w:sz="0" w:space="0" w:color="000000"/>
          <w:bottom w:val="none" w:sz="0" w:space="0" w:color="000000"/>
          <w:right w:val="none" w:sz="0" w:space="0" w:color="000000"/>
          <w:between w:val="none" w:sz="0" w:space="0" w:color="000000"/>
        </w:pBdr>
        <w:spacing w:line="276" w:lineRule="auto"/>
        <w:ind w:left="1080"/>
        <w:jc w:val="both"/>
        <w:rPr>
          <w:rFonts w:ascii="Roboto" w:eastAsia="Roboto" w:hAnsi="Roboto" w:cs="Roboto"/>
          <w:b/>
          <w:sz w:val="20"/>
          <w:szCs w:val="20"/>
        </w:rPr>
      </w:pPr>
      <w:r>
        <w:rPr>
          <w:rFonts w:ascii="Roboto" w:eastAsia="Roboto" w:hAnsi="Roboto" w:cs="Roboto"/>
          <w:b/>
          <w:sz w:val="20"/>
          <w:szCs w:val="20"/>
        </w:rPr>
        <w:t xml:space="preserve">La Administración Pública confía en la acreditación como herramienta para alcanzar sus objetivos en materia de eficiencia energética, como en caso del sistema de Certificados de Ahorro Energético (CAE) al exigir la acreditación de ENAC a los verificadores de ahorro energético. </w:t>
      </w:r>
    </w:p>
    <w:p w14:paraId="71330B39" w14:textId="77777777" w:rsidR="00300B93" w:rsidRDefault="00300B93">
      <w:pPr>
        <w:pBdr>
          <w:top w:val="none" w:sz="0" w:space="0" w:color="000000"/>
          <w:bottom w:val="none" w:sz="0" w:space="0" w:color="000000"/>
          <w:right w:val="none" w:sz="0" w:space="0" w:color="000000"/>
          <w:between w:val="none" w:sz="0" w:space="0" w:color="000000"/>
        </w:pBdr>
        <w:spacing w:line="276" w:lineRule="auto"/>
        <w:ind w:left="720"/>
        <w:jc w:val="both"/>
        <w:rPr>
          <w:rFonts w:ascii="Roboto" w:eastAsia="Roboto" w:hAnsi="Roboto" w:cs="Roboto"/>
          <w:b/>
          <w:color w:val="434343"/>
          <w:sz w:val="20"/>
          <w:szCs w:val="20"/>
        </w:rPr>
      </w:pPr>
    </w:p>
    <w:p w14:paraId="2AF1D030" w14:textId="58A9CE1A" w:rsidR="00300B93" w:rsidRDefault="70DB6A94" w:rsidP="642ABC11">
      <w:pPr>
        <w:jc w:val="both"/>
        <w:rPr>
          <w:rFonts w:ascii="Roboto" w:eastAsia="Roboto" w:hAnsi="Roboto" w:cs="Roboto"/>
          <w:sz w:val="22"/>
          <w:szCs w:val="22"/>
        </w:rPr>
      </w:pPr>
      <w:r w:rsidRPr="642ABC11">
        <w:rPr>
          <w:rFonts w:ascii="Roboto" w:eastAsia="Roboto" w:hAnsi="Roboto" w:cs="Roboto"/>
          <w:color w:val="000000" w:themeColor="text1"/>
          <w:sz w:val="22"/>
          <w:szCs w:val="22"/>
        </w:rPr>
        <w:t xml:space="preserve">Madrid, 05 de marzo de 2025.- El </w:t>
      </w:r>
      <w:r w:rsidRPr="642ABC11">
        <w:rPr>
          <w:rFonts w:ascii="Roboto" w:eastAsia="Roboto" w:hAnsi="Roboto" w:cs="Roboto"/>
          <w:b/>
          <w:bCs/>
          <w:color w:val="000000" w:themeColor="text1"/>
          <w:sz w:val="22"/>
          <w:szCs w:val="22"/>
        </w:rPr>
        <w:t>Día Mundial de la Eficiencia Energética</w:t>
      </w:r>
      <w:r w:rsidRPr="642ABC11">
        <w:rPr>
          <w:rFonts w:ascii="Roboto" w:eastAsia="Roboto" w:hAnsi="Roboto" w:cs="Roboto"/>
          <w:color w:val="000000" w:themeColor="text1"/>
          <w:sz w:val="22"/>
          <w:szCs w:val="22"/>
        </w:rPr>
        <w:t>, que se celebra este miércoles, 5 de marzo, nos recuerda y sensibiliza sobre la necesidad de reducir el consumo energético mediante un uso razonable y sostenible de la energía. En nuestro país, medidas recientes como el Fondo Nacional de Eficiencia Energética (FNEE) o el sistema de CAE, ambos impulsados por el Ministerio para la Transición Ecológica y el Reto Demográfico (MITERD), han permitido elevar los objetivos de eficiencia energética del</w:t>
      </w:r>
      <w:hyperlink r:id="rId12">
        <w:r w:rsidRPr="642ABC11">
          <w:rPr>
            <w:rStyle w:val="Hipervnculo"/>
            <w:rFonts w:ascii="Roboto" w:eastAsia="Roboto" w:hAnsi="Roboto" w:cs="Roboto"/>
            <w:color w:val="000000" w:themeColor="text1"/>
            <w:sz w:val="22"/>
            <w:szCs w:val="22"/>
            <w:u w:val="none"/>
          </w:rPr>
          <w:t xml:space="preserve"> Plan Nacional de Energía y Clima 2023-2030</w:t>
        </w:r>
      </w:hyperlink>
      <w:r w:rsidRPr="642ABC11">
        <w:rPr>
          <w:rFonts w:ascii="Roboto" w:eastAsia="Roboto" w:hAnsi="Roboto" w:cs="Roboto"/>
          <w:color w:val="000000" w:themeColor="text1"/>
          <w:sz w:val="22"/>
          <w:szCs w:val="22"/>
        </w:rPr>
        <w:t xml:space="preserve"> (PNIEC) hasta el 43%.  </w:t>
      </w:r>
    </w:p>
    <w:p w14:paraId="46189871" w14:textId="50785185" w:rsidR="00300B93" w:rsidRDefault="00300B93" w:rsidP="642ABC11">
      <w:pPr>
        <w:jc w:val="both"/>
        <w:rPr>
          <w:rFonts w:ascii="Roboto" w:eastAsia="Roboto" w:hAnsi="Roboto" w:cs="Roboto"/>
          <w:sz w:val="22"/>
          <w:szCs w:val="22"/>
        </w:rPr>
      </w:pPr>
    </w:p>
    <w:p w14:paraId="71330B3E" w14:textId="7F7EBFC0" w:rsidR="00300B93" w:rsidRDefault="007012C5">
      <w:pPr>
        <w:jc w:val="both"/>
        <w:rPr>
          <w:rFonts w:ascii="Roboto" w:eastAsia="Roboto" w:hAnsi="Roboto" w:cs="Roboto"/>
          <w:sz w:val="22"/>
          <w:szCs w:val="22"/>
        </w:rPr>
      </w:pPr>
      <w:r w:rsidRPr="642ABC11">
        <w:rPr>
          <w:rFonts w:ascii="Roboto" w:eastAsia="Roboto" w:hAnsi="Roboto" w:cs="Roboto"/>
          <w:sz w:val="22"/>
          <w:szCs w:val="22"/>
        </w:rPr>
        <w:t xml:space="preserve">En este marco, la acreditación se ha posicionado como una de las herramientas cada vez más utilizada por la </w:t>
      </w:r>
      <w:r w:rsidRPr="642ABC11">
        <w:rPr>
          <w:rFonts w:ascii="Roboto" w:eastAsia="Roboto" w:hAnsi="Roboto" w:cs="Roboto"/>
          <w:sz w:val="22"/>
          <w:szCs w:val="22"/>
          <w:highlight w:val="white"/>
        </w:rPr>
        <w:t xml:space="preserve">Administración para garantizar la seguridad e integridad de actividades de evaluación y control que intervienen en sectores clave para las políticas públicas como es el de la eficiencia energética. </w:t>
      </w:r>
    </w:p>
    <w:p w14:paraId="71330B3F" w14:textId="77777777" w:rsidR="00300B93" w:rsidRDefault="00300B93">
      <w:pPr>
        <w:jc w:val="both"/>
        <w:rPr>
          <w:rFonts w:ascii="Roboto" w:eastAsia="Roboto" w:hAnsi="Roboto" w:cs="Roboto"/>
          <w:sz w:val="22"/>
          <w:szCs w:val="22"/>
        </w:rPr>
      </w:pPr>
    </w:p>
    <w:p w14:paraId="32996148" w14:textId="62E1C6ED" w:rsidR="00B12F6C" w:rsidRDefault="007012C5" w:rsidP="642ABC11">
      <w:pPr>
        <w:jc w:val="both"/>
        <w:rPr>
          <w:rFonts w:ascii="Roboto" w:eastAsia="Roboto" w:hAnsi="Roboto" w:cs="Roboto"/>
          <w:sz w:val="22"/>
          <w:szCs w:val="22"/>
          <w:highlight w:val="white"/>
        </w:rPr>
      </w:pPr>
      <w:r w:rsidRPr="642ABC11">
        <w:rPr>
          <w:rFonts w:ascii="Roboto" w:eastAsia="Roboto" w:hAnsi="Roboto" w:cs="Roboto"/>
          <w:sz w:val="22"/>
          <w:szCs w:val="22"/>
          <w:highlight w:val="white"/>
        </w:rPr>
        <w:t>Ejemplo de ello son las diferentes regulaciones aprobadas recientemente y que incorporan la acreditación, entre las que cabe destacar el</w:t>
      </w:r>
      <w:r w:rsidRPr="642ABC11">
        <w:rPr>
          <w:rFonts w:ascii="Roboto" w:eastAsia="Roboto" w:hAnsi="Roboto" w:cs="Roboto"/>
          <w:color w:val="0000FF"/>
          <w:sz w:val="22"/>
          <w:szCs w:val="22"/>
          <w:highlight w:val="white"/>
        </w:rPr>
        <w:t xml:space="preserve"> </w:t>
      </w:r>
      <w:hyperlink r:id="rId13">
        <w:r w:rsidRPr="642ABC11">
          <w:rPr>
            <w:rFonts w:ascii="Roboto" w:eastAsia="Roboto" w:hAnsi="Roboto" w:cs="Roboto"/>
            <w:color w:val="0000FF"/>
            <w:sz w:val="22"/>
            <w:szCs w:val="22"/>
            <w:highlight w:val="white"/>
          </w:rPr>
          <w:t>Real Decreto 36/2023</w:t>
        </w:r>
      </w:hyperlink>
      <w:r w:rsidRPr="642ABC11">
        <w:rPr>
          <w:rFonts w:ascii="Roboto" w:eastAsia="Roboto" w:hAnsi="Roboto" w:cs="Roboto"/>
          <w:color w:val="0000FF"/>
          <w:sz w:val="22"/>
          <w:szCs w:val="22"/>
          <w:highlight w:val="white"/>
        </w:rPr>
        <w:t>,</w:t>
      </w:r>
      <w:r w:rsidRPr="642ABC11">
        <w:rPr>
          <w:rFonts w:ascii="Roboto" w:eastAsia="Roboto" w:hAnsi="Roboto" w:cs="Roboto"/>
          <w:sz w:val="22"/>
          <w:szCs w:val="22"/>
          <w:highlight w:val="white"/>
        </w:rPr>
        <w:t xml:space="preserve"> </w:t>
      </w:r>
      <w:r w:rsidRPr="642ABC11">
        <w:rPr>
          <w:rFonts w:ascii="Roboto" w:eastAsia="Roboto" w:hAnsi="Roboto" w:cs="Roboto"/>
          <w:sz w:val="22"/>
          <w:szCs w:val="22"/>
        </w:rPr>
        <w:t xml:space="preserve">que regula el </w:t>
      </w:r>
      <w:r w:rsidRPr="642ABC11">
        <w:rPr>
          <w:rFonts w:ascii="Roboto" w:eastAsia="Roboto" w:hAnsi="Roboto" w:cs="Roboto"/>
          <w:b/>
          <w:bCs/>
          <w:sz w:val="22"/>
          <w:szCs w:val="22"/>
        </w:rPr>
        <w:t>sistema de Certificados de Ahorro Energético</w:t>
      </w:r>
      <w:r w:rsidRPr="642ABC11">
        <w:rPr>
          <w:rFonts w:ascii="Roboto" w:eastAsia="Roboto" w:hAnsi="Roboto" w:cs="Roboto"/>
          <w:sz w:val="22"/>
          <w:szCs w:val="22"/>
        </w:rPr>
        <w:t xml:space="preserve"> (CAE) y que pone a disposición del mercado una nueva herramienta para alcanzar los objetivos de ahorro de energía comprometidos con la UE, que ha </w:t>
      </w:r>
      <w:r w:rsidRPr="642ABC11">
        <w:rPr>
          <w:rFonts w:ascii="Roboto" w:eastAsia="Roboto" w:hAnsi="Roboto" w:cs="Roboto"/>
          <w:b/>
          <w:bCs/>
          <w:sz w:val="22"/>
          <w:szCs w:val="22"/>
        </w:rPr>
        <w:t>incorporado la acreditación con el objetivo de aportar una mayor fiabilidad a los informes de verificación</w:t>
      </w:r>
      <w:r w:rsidRPr="642ABC11">
        <w:rPr>
          <w:rFonts w:ascii="Roboto" w:eastAsia="Roboto" w:hAnsi="Roboto" w:cs="Roboto"/>
          <w:sz w:val="22"/>
          <w:szCs w:val="22"/>
        </w:rPr>
        <w:t>. Con es</w:t>
      </w:r>
      <w:r w:rsidR="007E4BC0" w:rsidRPr="642ABC11">
        <w:rPr>
          <w:rFonts w:ascii="Roboto" w:eastAsia="Roboto" w:hAnsi="Roboto" w:cs="Roboto"/>
          <w:sz w:val="22"/>
          <w:szCs w:val="22"/>
        </w:rPr>
        <w:t>ta</w:t>
      </w:r>
      <w:r w:rsidR="1B0612C7" w:rsidRPr="642ABC11">
        <w:rPr>
          <w:rFonts w:ascii="Roboto" w:eastAsia="Roboto" w:hAnsi="Roboto" w:cs="Roboto"/>
          <w:sz w:val="22"/>
          <w:szCs w:val="22"/>
        </w:rPr>
        <w:t xml:space="preserve"> </w:t>
      </w:r>
      <w:r w:rsidR="007E4BC0" w:rsidRPr="642ABC11">
        <w:rPr>
          <w:rFonts w:ascii="Roboto" w:eastAsia="Roboto" w:hAnsi="Roboto" w:cs="Roboto"/>
          <w:sz w:val="22"/>
          <w:szCs w:val="22"/>
        </w:rPr>
        <w:t>finalidad</w:t>
      </w:r>
      <w:r w:rsidRPr="642ABC11">
        <w:rPr>
          <w:rFonts w:ascii="Roboto" w:eastAsia="Roboto" w:hAnsi="Roboto" w:cs="Roboto"/>
          <w:sz w:val="22"/>
          <w:szCs w:val="22"/>
        </w:rPr>
        <w:t xml:space="preserve">, ENAC, la </w:t>
      </w:r>
      <w:hyperlink r:id="rId14">
        <w:r w:rsidRPr="642ABC11">
          <w:rPr>
            <w:rFonts w:ascii="Roboto" w:eastAsia="Roboto" w:hAnsi="Roboto" w:cs="Roboto"/>
            <w:b/>
            <w:bCs/>
            <w:color w:val="1155CC"/>
            <w:sz w:val="22"/>
            <w:szCs w:val="22"/>
            <w:u w:val="single"/>
          </w:rPr>
          <w:t>Entidad Nacional de Acreditación</w:t>
        </w:r>
      </w:hyperlink>
      <w:r w:rsidRPr="642ABC11">
        <w:rPr>
          <w:rFonts w:ascii="Roboto" w:eastAsia="Roboto" w:hAnsi="Roboto" w:cs="Roboto"/>
          <w:sz w:val="22"/>
          <w:szCs w:val="22"/>
        </w:rPr>
        <w:t xml:space="preserve">, ha trabajado con el Ministerio para la Transición Ecológica y el Reto Demográfico en el desarrollo del correspondiente esquema de acreditación. </w:t>
      </w:r>
      <w:r w:rsidR="1A6858DA" w:rsidRPr="642ABC11">
        <w:rPr>
          <w:rFonts w:ascii="Roboto" w:eastAsia="Roboto" w:hAnsi="Roboto" w:cs="Roboto"/>
          <w:color w:val="000000" w:themeColor="text1"/>
          <w:sz w:val="22"/>
          <w:szCs w:val="22"/>
        </w:rPr>
        <w:t xml:space="preserve">Tras la concesión de las primeras acreditaciones en 2024, el mercado español ya cuenta con los servicios acreditados necesarios para la puesta en práctica de este mecanismo público de ahorro energético.  </w:t>
      </w:r>
    </w:p>
    <w:p w14:paraId="22D9F920" w14:textId="22F04DCE" w:rsidR="642ABC11" w:rsidRDefault="642ABC11" w:rsidP="642ABC11">
      <w:pPr>
        <w:jc w:val="both"/>
        <w:rPr>
          <w:rFonts w:ascii="Roboto" w:eastAsia="Roboto" w:hAnsi="Roboto" w:cs="Roboto"/>
          <w:sz w:val="22"/>
          <w:szCs w:val="22"/>
        </w:rPr>
      </w:pPr>
    </w:p>
    <w:p w14:paraId="71330B42"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De la misma forma, la acreditación es una pieza clave tanto en el </w:t>
      </w:r>
      <w:hyperlink r:id="rId15">
        <w:r w:rsidR="00300B93">
          <w:rPr>
            <w:rFonts w:ascii="Roboto" w:eastAsia="Roboto" w:hAnsi="Roboto" w:cs="Roboto"/>
            <w:color w:val="0000FF"/>
            <w:sz w:val="22"/>
            <w:szCs w:val="22"/>
          </w:rPr>
          <w:t>Real Decreto 692/2021</w:t>
        </w:r>
      </w:hyperlink>
      <w:r>
        <w:rPr>
          <w:rFonts w:ascii="Roboto" w:eastAsia="Roboto" w:hAnsi="Roboto" w:cs="Roboto"/>
          <w:color w:val="0000FF"/>
          <w:sz w:val="22"/>
          <w:szCs w:val="22"/>
        </w:rPr>
        <w:t>,</w:t>
      </w:r>
      <w:r>
        <w:rPr>
          <w:rFonts w:ascii="Roboto" w:eastAsia="Roboto" w:hAnsi="Roboto" w:cs="Roboto"/>
          <w:sz w:val="22"/>
          <w:szCs w:val="22"/>
        </w:rPr>
        <w:t xml:space="preserve"> por el que se regula la </w:t>
      </w:r>
      <w:r>
        <w:rPr>
          <w:rFonts w:ascii="Roboto" w:eastAsia="Roboto" w:hAnsi="Roboto" w:cs="Roboto"/>
          <w:b/>
          <w:sz w:val="22"/>
          <w:szCs w:val="22"/>
        </w:rPr>
        <w:t>concesión directa de ayudas a proyectos singulares locales de energía limpia en municipios de reto demográfico</w:t>
      </w:r>
      <w:r>
        <w:rPr>
          <w:rFonts w:ascii="Roboto" w:eastAsia="Roboto" w:hAnsi="Roboto" w:cs="Roboto"/>
          <w:sz w:val="22"/>
          <w:szCs w:val="22"/>
        </w:rPr>
        <w:t xml:space="preserve"> y que </w:t>
      </w:r>
      <w:r>
        <w:rPr>
          <w:rFonts w:ascii="Roboto" w:eastAsia="Roboto" w:hAnsi="Roboto" w:cs="Roboto"/>
          <w:b/>
          <w:sz w:val="22"/>
          <w:szCs w:val="22"/>
        </w:rPr>
        <w:t>exige que las luminarias LED estén certificadas por un organismo acreditado</w:t>
      </w:r>
      <w:r>
        <w:rPr>
          <w:rFonts w:ascii="Roboto" w:eastAsia="Roboto" w:hAnsi="Roboto" w:cs="Roboto"/>
          <w:sz w:val="22"/>
          <w:szCs w:val="22"/>
        </w:rPr>
        <w:t>, como el Reglamento de Eficiencia Energética en las Instalaciones de Alumbrado Exterior, cuyo objetivo es la mejora de la eficiencia y ahorro energético, o la utilización de entidades de inspección acreditadas por parte de la Comisión Nacional de los Mercados y la Competencia (CNMC) para comprobar que las instalaciones de cogeneración de energía eléctrica cumplan con los requisitos legales de eficiencia.</w:t>
      </w:r>
    </w:p>
    <w:p w14:paraId="71330B43" w14:textId="77777777" w:rsidR="00300B93" w:rsidRDefault="00300B93">
      <w:pPr>
        <w:jc w:val="both"/>
        <w:rPr>
          <w:rFonts w:ascii="Roboto" w:eastAsia="Roboto" w:hAnsi="Roboto" w:cs="Roboto"/>
          <w:sz w:val="22"/>
          <w:szCs w:val="22"/>
        </w:rPr>
      </w:pPr>
    </w:p>
    <w:p w14:paraId="71330B44" w14:textId="77777777" w:rsidR="00300B93" w:rsidRDefault="007012C5">
      <w:pPr>
        <w:jc w:val="both"/>
        <w:rPr>
          <w:rFonts w:ascii="Roboto" w:eastAsia="Roboto" w:hAnsi="Roboto" w:cs="Roboto"/>
          <w:sz w:val="22"/>
          <w:szCs w:val="22"/>
        </w:rPr>
      </w:pPr>
      <w:r>
        <w:rPr>
          <w:rFonts w:ascii="Roboto" w:eastAsia="Roboto" w:hAnsi="Roboto" w:cs="Roboto"/>
          <w:sz w:val="22"/>
          <w:szCs w:val="22"/>
        </w:rPr>
        <w:lastRenderedPageBreak/>
        <w:t xml:space="preserve">Respecto a la generación distribuida y el fomento de la autoproducción de energía renovable, la labor tanto de las entidades de certificación como de los laboratorios de ensayo acreditados ha pasado a ser fundamental al actuar como </w:t>
      </w:r>
      <w:r>
        <w:rPr>
          <w:rFonts w:ascii="Roboto" w:eastAsia="Roboto" w:hAnsi="Roboto" w:cs="Roboto"/>
          <w:b/>
          <w:sz w:val="22"/>
          <w:szCs w:val="22"/>
        </w:rPr>
        <w:t>garantía de una correcta conexión a la red general de distribución de las instalaciones y elementos de generación</w:t>
      </w:r>
      <w:r>
        <w:rPr>
          <w:rFonts w:ascii="Roboto" w:eastAsia="Roboto" w:hAnsi="Roboto" w:cs="Roboto"/>
          <w:sz w:val="22"/>
          <w:szCs w:val="22"/>
        </w:rPr>
        <w:t>.</w:t>
      </w:r>
    </w:p>
    <w:p w14:paraId="71330B45" w14:textId="77777777" w:rsidR="00300B93" w:rsidRDefault="00300B93">
      <w:pPr>
        <w:jc w:val="both"/>
        <w:rPr>
          <w:rFonts w:ascii="Roboto" w:eastAsia="Roboto" w:hAnsi="Roboto" w:cs="Roboto"/>
          <w:sz w:val="22"/>
          <w:szCs w:val="22"/>
        </w:rPr>
      </w:pPr>
    </w:p>
    <w:p w14:paraId="71330B46" w14:textId="4507FE25" w:rsidR="00300B93" w:rsidRDefault="007012C5">
      <w:pPr>
        <w:jc w:val="both"/>
        <w:rPr>
          <w:rFonts w:ascii="Roboto" w:eastAsia="Roboto" w:hAnsi="Roboto" w:cs="Roboto"/>
          <w:sz w:val="22"/>
          <w:szCs w:val="22"/>
        </w:rPr>
      </w:pPr>
      <w:r w:rsidRPr="642ABC11">
        <w:rPr>
          <w:rFonts w:ascii="Roboto" w:eastAsia="Roboto" w:hAnsi="Roboto" w:cs="Roboto"/>
          <w:sz w:val="22"/>
          <w:szCs w:val="22"/>
        </w:rPr>
        <w:t xml:space="preserve">Asimismo, los laboratorios acreditados y las entidades de certificación de producto juegan un papel esencial a la hora de aportar confianza sobre el cumplimiento de requisitos de </w:t>
      </w:r>
      <w:r w:rsidRPr="642ABC11">
        <w:rPr>
          <w:rFonts w:ascii="Roboto" w:eastAsia="Roboto" w:hAnsi="Roboto" w:cs="Roboto"/>
          <w:b/>
          <w:bCs/>
          <w:sz w:val="22"/>
          <w:szCs w:val="22"/>
        </w:rPr>
        <w:t>calidad y seguridad en productos y componentes energéticos</w:t>
      </w:r>
      <w:r w:rsidRPr="642ABC11">
        <w:rPr>
          <w:rFonts w:ascii="Roboto" w:eastAsia="Roboto" w:hAnsi="Roboto" w:cs="Roboto"/>
          <w:sz w:val="22"/>
          <w:szCs w:val="22"/>
        </w:rPr>
        <w:t xml:space="preserve"> como aerogeneradores, biocombustibles y módulos y sistemas fotovoltaicos, entre otros. Además, en el ámbito del consumo eficiente, estos laboratorios ofrecen garantías sobre los ensayos de eficiencia de luminarias, lámparas y módulos LED y equipos de </w:t>
      </w:r>
      <w:r w:rsidR="6CEFC131" w:rsidRPr="642ABC11">
        <w:rPr>
          <w:rFonts w:ascii="Roboto" w:eastAsia="Roboto" w:hAnsi="Roboto" w:cs="Roboto"/>
          <w:sz w:val="22"/>
          <w:szCs w:val="22"/>
        </w:rPr>
        <w:t>climatización,</w:t>
      </w:r>
      <w:r w:rsidR="00927DCB" w:rsidRPr="642ABC11">
        <w:rPr>
          <w:rFonts w:ascii="Roboto" w:eastAsia="Roboto" w:hAnsi="Roboto" w:cs="Roboto"/>
          <w:sz w:val="22"/>
          <w:szCs w:val="22"/>
        </w:rPr>
        <w:t xml:space="preserve"> por ejemplo</w:t>
      </w:r>
      <w:r w:rsidR="00593BDE" w:rsidRPr="642ABC11">
        <w:rPr>
          <w:rFonts w:ascii="Roboto" w:eastAsia="Roboto" w:hAnsi="Roboto" w:cs="Roboto"/>
          <w:sz w:val="22"/>
          <w:szCs w:val="22"/>
        </w:rPr>
        <w:t>.</w:t>
      </w:r>
    </w:p>
    <w:p w14:paraId="71330B47" w14:textId="77777777" w:rsidR="00300B93" w:rsidRDefault="00300B93">
      <w:pPr>
        <w:jc w:val="both"/>
        <w:rPr>
          <w:rFonts w:ascii="Roboto" w:eastAsia="Roboto" w:hAnsi="Roboto" w:cs="Roboto"/>
          <w:sz w:val="22"/>
          <w:szCs w:val="22"/>
        </w:rPr>
      </w:pPr>
    </w:p>
    <w:p w14:paraId="71330B48" w14:textId="77777777" w:rsidR="00300B93" w:rsidRDefault="007012C5">
      <w:pPr>
        <w:jc w:val="both"/>
        <w:rPr>
          <w:rFonts w:ascii="Roboto" w:eastAsia="Roboto" w:hAnsi="Roboto" w:cs="Roboto"/>
          <w:sz w:val="22"/>
          <w:szCs w:val="22"/>
        </w:rPr>
      </w:pPr>
      <w:r>
        <w:rPr>
          <w:rFonts w:ascii="Roboto" w:eastAsia="Roboto" w:hAnsi="Roboto" w:cs="Roboto"/>
          <w:sz w:val="22"/>
          <w:szCs w:val="22"/>
        </w:rPr>
        <w:t>También están contribuyendo a una mayor eficiencia energética las entidades acreditadas para la inspección de seguridad de las instalaciones de producción, transformación, transporte y distribución de energía eléctrica; y las que evalúan la eficiencia energética de instalaciones (alumbrado exterior, instalaciones térmicas de edificios).</w:t>
      </w:r>
    </w:p>
    <w:p w14:paraId="71330B49" w14:textId="77777777" w:rsidR="00300B93" w:rsidRDefault="00300B93">
      <w:pPr>
        <w:jc w:val="both"/>
        <w:rPr>
          <w:rFonts w:ascii="Roboto" w:eastAsia="Roboto" w:hAnsi="Roboto" w:cs="Roboto"/>
          <w:sz w:val="22"/>
          <w:szCs w:val="22"/>
        </w:rPr>
      </w:pPr>
    </w:p>
    <w:p w14:paraId="71330B4A"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Finalmente, la </w:t>
      </w:r>
      <w:r>
        <w:rPr>
          <w:rFonts w:ascii="Roboto" w:eastAsia="Roboto" w:hAnsi="Roboto" w:cs="Roboto"/>
          <w:b/>
          <w:sz w:val="22"/>
          <w:szCs w:val="22"/>
        </w:rPr>
        <w:t>certificación acreditada de personas</w:t>
      </w:r>
      <w:r>
        <w:rPr>
          <w:rFonts w:ascii="Roboto" w:eastAsia="Roboto" w:hAnsi="Roboto" w:cs="Roboto"/>
          <w:sz w:val="22"/>
          <w:szCs w:val="22"/>
        </w:rPr>
        <w:t xml:space="preserve"> está aportando garantías sobre la competencia técnica de distintos profesionales que han surgido como consecuencia de la creciente demanda de especialistas en eficiencia energética, como los gestores y auditores energéticos o técnicos en certificación energética en viviendas.</w:t>
      </w:r>
    </w:p>
    <w:p w14:paraId="71330B4B" w14:textId="77777777" w:rsidR="00300B93" w:rsidRDefault="00300B93">
      <w:pPr>
        <w:jc w:val="both"/>
        <w:rPr>
          <w:rFonts w:ascii="Roboto" w:eastAsia="Roboto" w:hAnsi="Roboto" w:cs="Roboto"/>
          <w:b/>
          <w:sz w:val="20"/>
          <w:szCs w:val="20"/>
        </w:rPr>
      </w:pPr>
    </w:p>
    <w:p w14:paraId="71330B4C" w14:textId="77777777" w:rsidR="00300B93" w:rsidRDefault="007012C5">
      <w:pPr>
        <w:jc w:val="both"/>
        <w:rPr>
          <w:rFonts w:ascii="Roboto" w:eastAsia="Roboto" w:hAnsi="Roboto" w:cs="Roboto"/>
          <w:b/>
          <w:sz w:val="22"/>
          <w:szCs w:val="22"/>
          <w:u w:val="single"/>
        </w:rPr>
      </w:pPr>
      <w:r>
        <w:rPr>
          <w:rFonts w:ascii="Roboto" w:eastAsia="Roboto" w:hAnsi="Roboto" w:cs="Roboto"/>
          <w:b/>
          <w:sz w:val="22"/>
          <w:szCs w:val="22"/>
          <w:u w:val="single"/>
        </w:rPr>
        <w:t>Una ayuda a la exportación de productos y componentes energéticos</w:t>
      </w:r>
    </w:p>
    <w:p w14:paraId="71330B4D" w14:textId="77777777" w:rsidR="00300B93" w:rsidRDefault="00300B93">
      <w:pPr>
        <w:jc w:val="both"/>
        <w:rPr>
          <w:rFonts w:ascii="Roboto" w:eastAsia="Roboto" w:hAnsi="Roboto" w:cs="Roboto"/>
          <w:b/>
          <w:sz w:val="22"/>
          <w:szCs w:val="22"/>
        </w:rPr>
      </w:pPr>
    </w:p>
    <w:p w14:paraId="71330B4E"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Además, contar con servicios acreditados permite superar los obstáculos técnicos al comercio y acceder a otros mercados sin necesidad de someterlos a nuevas pruebas en el país de destino, gracias a los acuerdos que mantiene ENAC con las organizaciones internacionales de acreditadores (EA, ILAC e IAF). </w:t>
      </w:r>
    </w:p>
    <w:p w14:paraId="71330B4F" w14:textId="77777777" w:rsidR="00300B93" w:rsidRDefault="00300B93">
      <w:pPr>
        <w:jc w:val="both"/>
        <w:rPr>
          <w:rFonts w:ascii="Roboto" w:eastAsia="Roboto" w:hAnsi="Roboto" w:cs="Roboto"/>
          <w:b/>
          <w:sz w:val="22"/>
          <w:szCs w:val="22"/>
        </w:rPr>
      </w:pPr>
    </w:p>
    <w:p w14:paraId="71330B50"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Un ejemplo de este apoyo a la exportación de productos españoles a nuevos mercados es el reconocimiento por parte de la Agencia de Protección Medioambiental de los Estados Unidos de los laboratorios acreditados por ENAC en su </w:t>
      </w:r>
      <w:r>
        <w:rPr>
          <w:rFonts w:ascii="Roboto" w:eastAsia="Roboto" w:hAnsi="Roboto" w:cs="Roboto"/>
          <w:b/>
          <w:sz w:val="22"/>
          <w:szCs w:val="22"/>
        </w:rPr>
        <w:t>programa Energy Star</w:t>
      </w:r>
      <w:r>
        <w:rPr>
          <w:rFonts w:ascii="Roboto" w:eastAsia="Roboto" w:hAnsi="Roboto" w:cs="Roboto"/>
          <w:sz w:val="22"/>
          <w:szCs w:val="22"/>
        </w:rPr>
        <w:t xml:space="preserve"> con el que se fomenta la fabricación de equipos con buen rendimiento energético.</w:t>
      </w:r>
    </w:p>
    <w:p w14:paraId="71330B51" w14:textId="77777777" w:rsidR="00300B93" w:rsidRDefault="00300B93">
      <w:pPr>
        <w:jc w:val="both"/>
        <w:rPr>
          <w:rFonts w:ascii="Roboto" w:eastAsia="Roboto" w:hAnsi="Roboto" w:cs="Roboto"/>
          <w:b/>
          <w:color w:val="E83544"/>
          <w:sz w:val="22"/>
          <w:szCs w:val="22"/>
        </w:rPr>
      </w:pPr>
    </w:p>
    <w:p w14:paraId="71330B52" w14:textId="77777777" w:rsidR="00300B93" w:rsidRDefault="007012C5">
      <w:pPr>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71330B53" w14:textId="77777777" w:rsidR="00300B93" w:rsidRDefault="00300B93">
      <w:pPr>
        <w:jc w:val="both"/>
        <w:rPr>
          <w:rFonts w:ascii="Roboto" w:eastAsia="Roboto" w:hAnsi="Roboto" w:cs="Roboto"/>
          <w:b/>
          <w:color w:val="E83544"/>
          <w:sz w:val="22"/>
          <w:szCs w:val="22"/>
        </w:rPr>
      </w:pPr>
    </w:p>
    <w:p w14:paraId="71330B54" w14:textId="77777777" w:rsidR="00300B93" w:rsidRDefault="007012C5">
      <w:pPr>
        <w:jc w:val="both"/>
        <w:rPr>
          <w:rFonts w:ascii="Roboto" w:eastAsia="Roboto" w:hAnsi="Roboto" w:cs="Roboto"/>
          <w:sz w:val="22"/>
          <w:szCs w:val="22"/>
        </w:rPr>
      </w:pPr>
      <w:r w:rsidRPr="642ABC11">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71330B5C" w14:textId="77777777" w:rsidR="00300B93" w:rsidRDefault="00300B93">
      <w:pPr>
        <w:jc w:val="both"/>
        <w:rPr>
          <w:rFonts w:ascii="Roboto" w:eastAsia="Roboto" w:hAnsi="Roboto" w:cs="Roboto"/>
          <w:sz w:val="22"/>
          <w:szCs w:val="22"/>
        </w:rPr>
      </w:pPr>
    </w:p>
    <w:p w14:paraId="71330B5D"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w:t>
      </w:r>
      <w:r>
        <w:rPr>
          <w:rFonts w:ascii="Roboto" w:eastAsia="Roboto" w:hAnsi="Roboto" w:cs="Roboto"/>
          <w:sz w:val="22"/>
          <w:szCs w:val="22"/>
        </w:rPr>
        <w:lastRenderedPageBreak/>
        <w:t>productos y servicios, la protección del medioambiente y, con ello, al aumento de la competitividad de los productos y servicios españoles y a una disminución de los costes para la sociedad debidos a estas actividades. </w:t>
      </w:r>
    </w:p>
    <w:p w14:paraId="71330B5E" w14:textId="77777777" w:rsidR="00300B93" w:rsidRDefault="007012C5">
      <w:pPr>
        <w:jc w:val="both"/>
        <w:rPr>
          <w:rFonts w:ascii="Roboto" w:eastAsia="Roboto" w:hAnsi="Roboto" w:cs="Roboto"/>
          <w:sz w:val="22"/>
          <w:szCs w:val="22"/>
        </w:rPr>
      </w:pPr>
      <w:r>
        <w:rPr>
          <w:rFonts w:ascii="Roboto" w:eastAsia="Roboto" w:hAnsi="Roboto" w:cs="Roboto"/>
          <w:sz w:val="22"/>
          <w:szCs w:val="22"/>
        </w:rPr>
        <w:t> </w:t>
      </w:r>
    </w:p>
    <w:p w14:paraId="71330B5F" w14:textId="77777777" w:rsidR="00300B93" w:rsidRDefault="007012C5">
      <w:pPr>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100 países en los que la marca de ENAC es reconocida y aceptada gracias a los acuerdos de reconocimiento que ENAC ha suscrito con las entidades de acreditación de esos países.</w:t>
      </w:r>
    </w:p>
    <w:p w14:paraId="71330B60" w14:textId="33FA4567" w:rsidR="00300B93" w:rsidRDefault="00300B93">
      <w:pPr>
        <w:jc w:val="both"/>
        <w:rPr>
          <w:rFonts w:ascii="Roboto" w:eastAsia="Roboto" w:hAnsi="Roboto" w:cs="Roboto"/>
          <w:sz w:val="22"/>
          <w:szCs w:val="22"/>
        </w:rPr>
      </w:pPr>
    </w:p>
    <w:p w14:paraId="71330B62" w14:textId="77777777" w:rsidR="00300B93" w:rsidRDefault="00300B93">
      <w:pPr>
        <w:pBdr>
          <w:bottom w:val="single" w:sz="12" w:space="1" w:color="000000"/>
        </w:pBdr>
        <w:jc w:val="both"/>
        <w:rPr>
          <w:rFonts w:ascii="Roboto" w:eastAsia="Roboto" w:hAnsi="Roboto" w:cs="Roboto"/>
          <w:color w:val="E83544"/>
          <w:sz w:val="22"/>
          <w:szCs w:val="22"/>
        </w:rPr>
      </w:pPr>
      <w:hyperlink r:id="rId16">
        <w:r>
          <w:rPr>
            <w:rFonts w:ascii="Roboto" w:eastAsia="Roboto" w:hAnsi="Roboto" w:cs="Roboto"/>
            <w:color w:val="E83544"/>
            <w:sz w:val="22"/>
            <w:szCs w:val="22"/>
            <w:u w:val="single"/>
          </w:rPr>
          <w:t>www.enac.es</w:t>
        </w:r>
      </w:hyperlink>
      <w:r w:rsidR="007012C5">
        <w:rPr>
          <w:rFonts w:ascii="Roboto" w:eastAsia="Roboto" w:hAnsi="Roboto" w:cs="Roboto"/>
          <w:color w:val="E83544"/>
          <w:sz w:val="22"/>
          <w:szCs w:val="22"/>
        </w:rPr>
        <w:t xml:space="preserve"> </w:t>
      </w:r>
    </w:p>
    <w:p w14:paraId="71330B63" w14:textId="77777777" w:rsidR="00300B93" w:rsidRDefault="00300B93">
      <w:pPr>
        <w:pBdr>
          <w:bottom w:val="single" w:sz="12" w:space="1" w:color="000000"/>
        </w:pBdr>
        <w:jc w:val="both"/>
        <w:rPr>
          <w:rFonts w:ascii="Roboto" w:eastAsia="Roboto" w:hAnsi="Roboto" w:cs="Roboto"/>
          <w:color w:val="E83544"/>
          <w:sz w:val="22"/>
          <w:szCs w:val="22"/>
        </w:rPr>
      </w:pPr>
    </w:p>
    <w:p w14:paraId="71330B64" w14:textId="77777777" w:rsidR="00300B93" w:rsidRDefault="007012C5">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71330B71" wp14:editId="71330B72">
            <wp:extent cx="318809" cy="318809"/>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18809" cy="318809"/>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71330B73" wp14:editId="71330B74">
            <wp:extent cx="304800" cy="304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p w14:paraId="71330B65" w14:textId="77777777" w:rsidR="00300B93" w:rsidRDefault="00300B93">
      <w:pPr>
        <w:pBdr>
          <w:bottom w:val="single" w:sz="12" w:space="1" w:color="000000"/>
        </w:pBdr>
        <w:jc w:val="both"/>
        <w:rPr>
          <w:rFonts w:ascii="Roboto" w:eastAsia="Roboto" w:hAnsi="Roboto" w:cs="Roboto"/>
          <w:color w:val="E83544"/>
          <w:sz w:val="22"/>
          <w:szCs w:val="22"/>
        </w:rPr>
      </w:pPr>
    </w:p>
    <w:p w14:paraId="71330B66" w14:textId="77777777" w:rsidR="00300B93" w:rsidRDefault="00300B93">
      <w:pPr>
        <w:jc w:val="both"/>
        <w:rPr>
          <w:rFonts w:ascii="Roboto" w:eastAsia="Roboto" w:hAnsi="Roboto" w:cs="Roboto"/>
          <w:color w:val="E83544"/>
          <w:sz w:val="22"/>
          <w:szCs w:val="22"/>
        </w:rPr>
      </w:pPr>
    </w:p>
    <w:p w14:paraId="71330B67" w14:textId="77777777" w:rsidR="00300B93" w:rsidRDefault="007012C5">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71330B68" w14:textId="77777777" w:rsidR="00300B93" w:rsidRDefault="007012C5">
      <w:pPr>
        <w:jc w:val="both"/>
        <w:rPr>
          <w:rFonts w:ascii="Roboto" w:eastAsia="Roboto" w:hAnsi="Roboto" w:cs="Roboto"/>
          <w:sz w:val="22"/>
          <w:szCs w:val="22"/>
        </w:rPr>
      </w:pPr>
      <w:r>
        <w:rPr>
          <w:rFonts w:ascii="Roboto" w:eastAsia="Roboto" w:hAnsi="Roboto" w:cs="Roboto"/>
          <w:sz w:val="22"/>
          <w:szCs w:val="22"/>
        </w:rPr>
        <w:t>Eva Martín</w:t>
      </w:r>
    </w:p>
    <w:p w14:paraId="71330B69" w14:textId="77777777" w:rsidR="00300B93" w:rsidRDefault="007012C5">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9">
        <w:r w:rsidR="00300B93">
          <w:rPr>
            <w:rFonts w:ascii="Roboto" w:eastAsia="Roboto" w:hAnsi="Roboto" w:cs="Roboto"/>
            <w:color w:val="E83544"/>
            <w:sz w:val="22"/>
            <w:szCs w:val="22"/>
            <w:u w:val="single"/>
          </w:rPr>
          <w:t>evamc@varenga.es</w:t>
        </w:r>
      </w:hyperlink>
    </w:p>
    <w:p w14:paraId="71330B6A" w14:textId="77777777" w:rsidR="00300B93" w:rsidRDefault="00300B93">
      <w:pPr>
        <w:spacing w:after="200" w:line="276" w:lineRule="auto"/>
        <w:rPr>
          <w:rFonts w:ascii="Roboto" w:eastAsia="Roboto" w:hAnsi="Roboto" w:cs="Roboto"/>
          <w:sz w:val="22"/>
          <w:szCs w:val="22"/>
        </w:rPr>
      </w:pPr>
    </w:p>
    <w:p w14:paraId="71330B6B" w14:textId="77777777" w:rsidR="00300B93" w:rsidRDefault="00300B93">
      <w:pPr>
        <w:rPr>
          <w:rFonts w:ascii="Calibri" w:eastAsia="Calibri" w:hAnsi="Calibri" w:cs="Calibri"/>
          <w:b/>
          <w:sz w:val="22"/>
          <w:szCs w:val="22"/>
          <w:u w:val="single"/>
        </w:rPr>
      </w:pPr>
    </w:p>
    <w:p w14:paraId="71330B6C" w14:textId="77777777" w:rsidR="00300B93" w:rsidRDefault="00300B93"/>
    <w:p w14:paraId="71330B6D" w14:textId="77777777" w:rsidR="00300B93" w:rsidRDefault="00300B93"/>
    <w:p w14:paraId="71330B6E" w14:textId="77777777" w:rsidR="00300B93" w:rsidRDefault="00300B93">
      <w:pPr>
        <w:shd w:val="clear" w:color="auto" w:fill="FFFFFF"/>
        <w:rPr>
          <w:rFonts w:ascii="Arial" w:eastAsia="Arial" w:hAnsi="Arial" w:cs="Arial"/>
          <w:b/>
          <w:color w:val="404040"/>
          <w:sz w:val="22"/>
          <w:szCs w:val="22"/>
        </w:rPr>
      </w:pPr>
    </w:p>
    <w:p w14:paraId="71330B6F" w14:textId="77777777" w:rsidR="00300B93" w:rsidRDefault="00300B93"/>
    <w:p w14:paraId="71330B70" w14:textId="77777777" w:rsidR="00300B93" w:rsidRDefault="00300B93">
      <w:pPr>
        <w:pBdr>
          <w:top w:val="nil"/>
          <w:left w:val="nil"/>
          <w:bottom w:val="nil"/>
          <w:right w:val="nil"/>
          <w:between w:val="nil"/>
        </w:pBdr>
        <w:rPr>
          <w:rFonts w:ascii="Calibri" w:eastAsia="Calibri" w:hAnsi="Calibri" w:cs="Calibri"/>
          <w:highlight w:val="white"/>
        </w:rPr>
      </w:pPr>
    </w:p>
    <w:sectPr w:rsidR="00300B93">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A1EC0" w14:textId="77777777" w:rsidR="00B30452" w:rsidRDefault="00B30452">
      <w:r>
        <w:separator/>
      </w:r>
    </w:p>
  </w:endnote>
  <w:endnote w:type="continuationSeparator" w:id="0">
    <w:p w14:paraId="3DAABE3E" w14:textId="77777777" w:rsidR="00B30452" w:rsidRDefault="00B30452">
      <w:r>
        <w:continuationSeparator/>
      </w:r>
    </w:p>
  </w:endnote>
  <w:endnote w:type="continuationNotice" w:id="1">
    <w:p w14:paraId="756E937E" w14:textId="77777777" w:rsidR="00B30452" w:rsidRDefault="00B30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A8CA844F-19C2-415A-A5CC-B583E8A93E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47A8530-F4DE-47FE-BCFE-598CC82947E0}"/>
    <w:embedItalic r:id="rId3" w:fontKey="{6B33E442-2E2E-4518-81FA-B36AC41332F4}"/>
  </w:font>
  <w:font w:name="Roboto">
    <w:charset w:val="00"/>
    <w:family w:val="auto"/>
    <w:pitch w:val="variable"/>
    <w:sig w:usb0="E0000AFF" w:usb1="5000217F" w:usb2="00000021" w:usb3="00000000" w:csb0="0000019F" w:csb1="00000000"/>
    <w:embedRegular r:id="rId4" w:fontKey="{7D1B9CF5-CAD4-42F3-BB18-6AD341CE6E32}"/>
    <w:embedBold r:id="rId5" w:fontKey="{E1AA0460-EE85-475E-A8DA-9658D6CA83A7}"/>
  </w:font>
  <w:font w:name="Calibri">
    <w:panose1 w:val="020F0502020204030204"/>
    <w:charset w:val="00"/>
    <w:family w:val="swiss"/>
    <w:pitch w:val="variable"/>
    <w:sig w:usb0="E4002EFF" w:usb1="C000247B" w:usb2="00000009" w:usb3="00000000" w:csb0="000001FF" w:csb1="00000000"/>
    <w:embedRegular r:id="rId6" w:fontKey="{9D1D94CC-2568-4123-B6B6-7FB5E409B5C4}"/>
    <w:embedBold r:id="rId7" w:fontKey="{B730DFDA-0FE8-4F88-8FE6-5CD13E84C46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AE9E766F-BA3A-498F-AC64-5805B25C0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9" w14:textId="77777777" w:rsidR="00300B93" w:rsidRDefault="00300B93">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A" w14:textId="0D5AB6CA" w:rsidR="00300B93" w:rsidRDefault="007012C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219E8">
      <w:rPr>
        <w:noProof/>
        <w:color w:val="000000"/>
      </w:rPr>
      <w:t>1</w:t>
    </w:r>
    <w:r>
      <w:rPr>
        <w:color w:val="000000"/>
      </w:rPr>
      <w:fldChar w:fldCharType="end"/>
    </w:r>
  </w:p>
  <w:p w14:paraId="71330B7B" w14:textId="77777777" w:rsidR="00300B93" w:rsidRDefault="00300B93">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D" w14:textId="77777777" w:rsidR="00300B93" w:rsidRDefault="00300B9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96FD0" w14:textId="77777777" w:rsidR="00B30452" w:rsidRDefault="00B30452">
      <w:r>
        <w:separator/>
      </w:r>
    </w:p>
  </w:footnote>
  <w:footnote w:type="continuationSeparator" w:id="0">
    <w:p w14:paraId="550FB154" w14:textId="77777777" w:rsidR="00B30452" w:rsidRDefault="00B30452">
      <w:r>
        <w:continuationSeparator/>
      </w:r>
    </w:p>
  </w:footnote>
  <w:footnote w:type="continuationNotice" w:id="1">
    <w:p w14:paraId="2B1639C8" w14:textId="77777777" w:rsidR="00B30452" w:rsidRDefault="00B30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5" w14:textId="77777777" w:rsidR="00300B93" w:rsidRDefault="00300B9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6" w14:textId="77777777" w:rsidR="00300B93" w:rsidRDefault="007012C5">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71330B7E" wp14:editId="71330B7F">
          <wp:simplePos x="0" y="0"/>
          <wp:positionH relativeFrom="column">
            <wp:posOffset>4114800</wp:posOffset>
          </wp:positionH>
          <wp:positionV relativeFrom="paragraph">
            <wp:posOffset>-304791</wp:posOffset>
          </wp:positionV>
          <wp:extent cx="1547842" cy="997267"/>
          <wp:effectExtent l="0" t="0" r="0" b="0"/>
          <wp:wrapSquare wrapText="bothSides" distT="114300" distB="11430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71330B77" w14:textId="77777777" w:rsidR="00300B93" w:rsidRDefault="007012C5">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71330B78" w14:textId="77777777" w:rsidR="00300B93" w:rsidRDefault="00300B93">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30B7C" w14:textId="77777777" w:rsidR="00300B93" w:rsidRDefault="00300B9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04469"/>
    <w:multiLevelType w:val="multilevel"/>
    <w:tmpl w:val="712031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9562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B93"/>
    <w:rsid w:val="00030485"/>
    <w:rsid w:val="000B02DC"/>
    <w:rsid w:val="000E6669"/>
    <w:rsid w:val="00183077"/>
    <w:rsid w:val="00192C45"/>
    <w:rsid w:val="00193F2F"/>
    <w:rsid w:val="001B42AC"/>
    <w:rsid w:val="002C0B95"/>
    <w:rsid w:val="002C6995"/>
    <w:rsid w:val="002F28BB"/>
    <w:rsid w:val="00300B93"/>
    <w:rsid w:val="0030104D"/>
    <w:rsid w:val="00344BAA"/>
    <w:rsid w:val="00353B3B"/>
    <w:rsid w:val="00391EA7"/>
    <w:rsid w:val="003D5ADC"/>
    <w:rsid w:val="00416CEE"/>
    <w:rsid w:val="00432A51"/>
    <w:rsid w:val="0043345D"/>
    <w:rsid w:val="004739C1"/>
    <w:rsid w:val="004C20BC"/>
    <w:rsid w:val="004E504C"/>
    <w:rsid w:val="00593BDE"/>
    <w:rsid w:val="005A62DD"/>
    <w:rsid w:val="005B43D0"/>
    <w:rsid w:val="005C1C56"/>
    <w:rsid w:val="005F752B"/>
    <w:rsid w:val="006355E2"/>
    <w:rsid w:val="00695967"/>
    <w:rsid w:val="00697762"/>
    <w:rsid w:val="006A7763"/>
    <w:rsid w:val="006B2605"/>
    <w:rsid w:val="006F5509"/>
    <w:rsid w:val="007012C5"/>
    <w:rsid w:val="00707668"/>
    <w:rsid w:val="00712C91"/>
    <w:rsid w:val="007137DF"/>
    <w:rsid w:val="007165A8"/>
    <w:rsid w:val="007E4BC0"/>
    <w:rsid w:val="00840C7D"/>
    <w:rsid w:val="00896175"/>
    <w:rsid w:val="009073E5"/>
    <w:rsid w:val="00927DCB"/>
    <w:rsid w:val="00930E46"/>
    <w:rsid w:val="00964E3C"/>
    <w:rsid w:val="009667DA"/>
    <w:rsid w:val="009A2F34"/>
    <w:rsid w:val="00A26556"/>
    <w:rsid w:val="00A53016"/>
    <w:rsid w:val="00AA0425"/>
    <w:rsid w:val="00B12F6C"/>
    <w:rsid w:val="00B30452"/>
    <w:rsid w:val="00C27769"/>
    <w:rsid w:val="00C92836"/>
    <w:rsid w:val="00CA7972"/>
    <w:rsid w:val="00CC0419"/>
    <w:rsid w:val="00CD1E41"/>
    <w:rsid w:val="00D219E8"/>
    <w:rsid w:val="00D56139"/>
    <w:rsid w:val="00D71BF2"/>
    <w:rsid w:val="00D82A74"/>
    <w:rsid w:val="00D92F6C"/>
    <w:rsid w:val="00DC2264"/>
    <w:rsid w:val="00DC2D77"/>
    <w:rsid w:val="00E53FDF"/>
    <w:rsid w:val="00E62EB0"/>
    <w:rsid w:val="00EA34C3"/>
    <w:rsid w:val="00EB270D"/>
    <w:rsid w:val="00EB4A66"/>
    <w:rsid w:val="00F6032F"/>
    <w:rsid w:val="00F61223"/>
    <w:rsid w:val="00F77BE3"/>
    <w:rsid w:val="00FC543B"/>
    <w:rsid w:val="1A6858DA"/>
    <w:rsid w:val="1B0612C7"/>
    <w:rsid w:val="20D70826"/>
    <w:rsid w:val="376CEC01"/>
    <w:rsid w:val="44D71767"/>
    <w:rsid w:val="4B4E0335"/>
    <w:rsid w:val="642ABC11"/>
    <w:rsid w:val="6470DE14"/>
    <w:rsid w:val="6CEFC131"/>
    <w:rsid w:val="70DB6A94"/>
    <w:rsid w:val="72F53371"/>
    <w:rsid w:val="74D88C3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0B33"/>
  <w15:docId w15:val="{6A63D12D-B53C-4FFE-A6EB-564952A6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0">
    <w:name w:val="Table Normal10"/>
    <w:rsid w:val="006355E2"/>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0">
    <w:name w:val="Table Normal20"/>
    <w:rsid w:val="006355E2"/>
    <w:tblPr>
      <w:tblCellMar>
        <w:top w:w="0" w:type="dxa"/>
        <w:left w:w="0" w:type="dxa"/>
        <w:bottom w:w="0" w:type="dxa"/>
        <w:right w:w="0" w:type="dxa"/>
      </w:tblCellMar>
    </w:tblPr>
  </w:style>
  <w:style w:type="table" w:customStyle="1" w:styleId="TableNormal3">
    <w:name w:val="Table Normal3"/>
    <w:rsid w:val="001A7BEA"/>
    <w:tblPr>
      <w:tblCellMar>
        <w:top w:w="0" w:type="dxa"/>
        <w:left w:w="0" w:type="dxa"/>
        <w:bottom w:w="0" w:type="dxa"/>
        <w:right w:w="0" w:type="dxa"/>
      </w:tblCellMar>
    </w:tblPr>
  </w:style>
  <w:style w:type="table" w:customStyle="1" w:styleId="TableNormal1">
    <w:name w:val="Table Normal1"/>
    <w:rsid w:val="007A7DB8"/>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BA4621"/>
  </w:style>
  <w:style w:type="paragraph" w:styleId="Encabezado">
    <w:name w:val="header"/>
    <w:basedOn w:val="Normal"/>
    <w:link w:val="EncabezadoCar"/>
    <w:uiPriority w:val="99"/>
    <w:semiHidden/>
    <w:unhideWhenUsed/>
    <w:rsid w:val="00FE5E62"/>
    <w:pPr>
      <w:tabs>
        <w:tab w:val="center" w:pos="4252"/>
        <w:tab w:val="right" w:pos="8504"/>
      </w:tabs>
    </w:pPr>
  </w:style>
  <w:style w:type="character" w:customStyle="1" w:styleId="EncabezadoCar">
    <w:name w:val="Encabezado Car"/>
    <w:basedOn w:val="Fuentedeprrafopredeter"/>
    <w:link w:val="Encabezado"/>
    <w:uiPriority w:val="99"/>
    <w:semiHidden/>
    <w:rsid w:val="00FE5E62"/>
  </w:style>
  <w:style w:type="paragraph" w:styleId="Piedepgina">
    <w:name w:val="footer"/>
    <w:basedOn w:val="Normal"/>
    <w:link w:val="PiedepginaCar"/>
    <w:uiPriority w:val="99"/>
    <w:semiHidden/>
    <w:unhideWhenUsed/>
    <w:rsid w:val="00FE5E62"/>
    <w:pPr>
      <w:tabs>
        <w:tab w:val="center" w:pos="4252"/>
        <w:tab w:val="right" w:pos="8504"/>
      </w:tabs>
    </w:pPr>
  </w:style>
  <w:style w:type="character" w:customStyle="1" w:styleId="PiedepginaCar">
    <w:name w:val="Pie de página Car"/>
    <w:basedOn w:val="Fuentedeprrafopredeter"/>
    <w:link w:val="Piedepgina"/>
    <w:uiPriority w:val="99"/>
    <w:semiHidden/>
    <w:rsid w:val="00FE5E62"/>
  </w:style>
  <w:style w:type="table" w:customStyle="1" w:styleId="TableNormal2">
    <w:name w:val="Table Normal2"/>
    <w:rsid w:val="007A7DB8"/>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1B42AC"/>
    <w:rPr>
      <w:sz w:val="16"/>
      <w:szCs w:val="16"/>
    </w:rPr>
  </w:style>
  <w:style w:type="paragraph" w:styleId="Textocomentario">
    <w:name w:val="annotation text"/>
    <w:basedOn w:val="Normal"/>
    <w:link w:val="TextocomentarioCar"/>
    <w:uiPriority w:val="99"/>
    <w:unhideWhenUsed/>
    <w:rsid w:val="001B42AC"/>
    <w:rPr>
      <w:sz w:val="20"/>
      <w:szCs w:val="20"/>
    </w:rPr>
  </w:style>
  <w:style w:type="character" w:customStyle="1" w:styleId="TextocomentarioCar">
    <w:name w:val="Texto comentario Car"/>
    <w:basedOn w:val="Fuentedeprrafopredeter"/>
    <w:link w:val="Textocomentario"/>
    <w:uiPriority w:val="99"/>
    <w:rsid w:val="001B42AC"/>
    <w:rPr>
      <w:sz w:val="20"/>
      <w:szCs w:val="20"/>
    </w:rPr>
  </w:style>
  <w:style w:type="paragraph" w:styleId="Asuntodelcomentario">
    <w:name w:val="annotation subject"/>
    <w:basedOn w:val="Textocomentario"/>
    <w:next w:val="Textocomentario"/>
    <w:link w:val="AsuntodelcomentarioCar"/>
    <w:uiPriority w:val="99"/>
    <w:semiHidden/>
    <w:unhideWhenUsed/>
    <w:rsid w:val="001B42AC"/>
    <w:rPr>
      <w:b/>
      <w:bCs/>
    </w:rPr>
  </w:style>
  <w:style w:type="character" w:customStyle="1" w:styleId="AsuntodelcomentarioCar">
    <w:name w:val="Asunto del comentario Car"/>
    <w:basedOn w:val="TextocomentarioCar"/>
    <w:link w:val="Asuntodelcomentario"/>
    <w:uiPriority w:val="99"/>
    <w:semiHidden/>
    <w:rsid w:val="001B42AC"/>
    <w:rPr>
      <w:b/>
      <w:bCs/>
      <w:sz w:val="20"/>
      <w:szCs w:val="20"/>
    </w:rPr>
  </w:style>
  <w:style w:type="character" w:styleId="Hipervnculo">
    <w:name w:val="Hyperlink"/>
    <w:basedOn w:val="Fuentedeprrafopredeter"/>
    <w:uiPriority w:val="99"/>
    <w:unhideWhenUsed/>
    <w:rsid w:val="642ABC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oe.es/boe/dias/2023/01/25/pdfs/BOE-A-2023-2027.pdf"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miteco.gob.es/es/energia/estrategia-normativa/pniec-23-30.html" TargetMode="External"/><Relationship Id="rId17" Type="http://schemas.openxmlformats.org/officeDocument/2006/relationships/image" Target="media/image1.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na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boe.es/boe/dias/2021/08/04/pdfs/BOE-A-2021-13269.pdf"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vamc@varenga.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ac.e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XfJdcTUldgJGptL92669MEV7A==">CgMxLjA4AHIhMXVVMXpHdlZTLUNhX1FiRjF5ZFpKajRISUdnMWlYckNS</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E430E-F632-44D5-9A9F-058959D0AACA}">
  <ds:schemaRefs>
    <ds:schemaRef ds:uri="http://schemas.microsoft.com/sharepoint/v3/contenttype/forms"/>
  </ds:schemaRefs>
</ds:datastoreItem>
</file>

<file path=customXml/itemProps2.xml><?xml version="1.0" encoding="utf-8"?>
<ds:datastoreItem xmlns:ds="http://schemas.openxmlformats.org/officeDocument/2006/customXml" ds:itemID="{E71B34F7-23AA-4B7E-BE57-5B0F10C12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02D59C-536C-4A87-9425-1CDB2D893A47}">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BF6DE0F-C301-45C5-B7E6-2816C5B7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1112</Words>
  <Characters>6116</Characters>
  <Application>Microsoft Office Word</Application>
  <DocSecurity>0</DocSecurity>
  <Lines>50</Lines>
  <Paragraphs>14</Paragraphs>
  <ScaleCrop>false</ScaleCrop>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Soledad Pacheco Alonso</dc:creator>
  <cp:keywords/>
  <cp:lastModifiedBy>Denise Diaz Pozo</cp:lastModifiedBy>
  <cp:revision>26</cp:revision>
  <dcterms:created xsi:type="dcterms:W3CDTF">2025-03-04T10:51:00Z</dcterms:created>
  <dcterms:modified xsi:type="dcterms:W3CDTF">2025-03-12T09:29:00Z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