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846B7C" w:rsidRDefault="00846B7C" w14:paraId="4D30413A" w14:textId="77777777"/>
    <w:p w:rsidR="00846B7C" w:rsidRDefault="00846B7C" w14:paraId="4D30413B" w14:textId="77777777">
      <w:pPr>
        <w:jc w:val="center"/>
        <w:rPr>
          <w:rFonts w:ascii="Roboto" w:hAnsi="Roboto" w:eastAsia="Roboto" w:cs="Roboto"/>
          <w:b/>
          <w:sz w:val="36"/>
          <w:szCs w:val="36"/>
        </w:rPr>
      </w:pPr>
    </w:p>
    <w:p w:rsidR="00846B7C" w:rsidRDefault="00A25F41" w14:paraId="4D30413C" w14:textId="77777777">
      <w:pPr>
        <w:jc w:val="center"/>
        <w:rPr>
          <w:rFonts w:ascii="Roboto" w:hAnsi="Roboto" w:eastAsia="Roboto" w:cs="Roboto"/>
          <w:b/>
          <w:sz w:val="36"/>
          <w:szCs w:val="36"/>
        </w:rPr>
      </w:pPr>
      <w:r>
        <w:rPr>
          <w:rFonts w:ascii="Roboto" w:hAnsi="Roboto" w:eastAsia="Roboto" w:cs="Roboto"/>
          <w:b/>
          <w:sz w:val="36"/>
          <w:szCs w:val="36"/>
        </w:rPr>
        <w:t>ENAC publica el nuevo esquema de acreditación desarrollado en colaboración con Enagás sobre gases provenientes de fuentes renovables</w:t>
      </w:r>
    </w:p>
    <w:p w:rsidR="00846B7C" w:rsidRDefault="00A25F41" w14:paraId="4D30413D" w14:textId="77777777">
      <w:pPr>
        <w:jc w:val="center"/>
        <w:rPr>
          <w:rFonts w:ascii="Roboto" w:hAnsi="Roboto" w:eastAsia="Roboto" w:cs="Roboto"/>
          <w:b/>
          <w:sz w:val="20"/>
          <w:szCs w:val="20"/>
        </w:rPr>
      </w:pPr>
      <w:r>
        <w:rPr>
          <w:rFonts w:ascii="Roboto" w:hAnsi="Roboto" w:eastAsia="Roboto" w:cs="Roboto"/>
          <w:b/>
          <w:sz w:val="20"/>
          <w:szCs w:val="20"/>
        </w:rPr>
        <w:t xml:space="preserve"> </w:t>
      </w:r>
    </w:p>
    <w:p w:rsidR="00846B7C" w:rsidP="1626CDFF" w:rsidRDefault="00A25F41" w14:paraId="4D30413E" w14:textId="6A8C504C">
      <w:pPr>
        <w:numPr>
          <w:ilvl w:val="0"/>
          <w:numId w:val="1"/>
        </w:numPr>
        <w:pBdr>
          <w:top w:val="none" w:color="000000" w:sz="0" w:space="0"/>
          <w:bottom w:val="none" w:color="000000" w:sz="0" w:space="0"/>
          <w:right w:val="none" w:color="000000" w:sz="0" w:space="0"/>
          <w:between w:val="none" w:color="000000" w:sz="0" w:space="0"/>
        </w:pBdr>
        <w:ind w:left="1080"/>
        <w:jc w:val="both"/>
        <w:rPr>
          <w:rFonts w:ascii="Roboto" w:hAnsi="Roboto" w:eastAsia="Roboto" w:cs="Roboto"/>
          <w:b w:val="1"/>
          <w:bCs w:val="1"/>
          <w:sz w:val="20"/>
          <w:szCs w:val="20"/>
        </w:rPr>
      </w:pPr>
      <w:r w:rsidRPr="1626CDFF" w:rsidR="00A25F41">
        <w:rPr>
          <w:rFonts w:ascii="Roboto" w:hAnsi="Roboto" w:eastAsia="Roboto" w:cs="Roboto"/>
          <w:b w:val="1"/>
          <w:bCs w:val="1"/>
          <w:sz w:val="20"/>
          <w:szCs w:val="20"/>
        </w:rPr>
        <w:t xml:space="preserve">El esquema de acreditación contempla los requisitos para la inspección de las instalaciones </w:t>
      </w:r>
      <w:r w:rsidRPr="1626CDFF" w:rsidR="00A25F41">
        <w:rPr>
          <w:rFonts w:ascii="Roboto" w:hAnsi="Roboto" w:eastAsia="Roboto" w:cs="Roboto"/>
          <w:b w:val="1"/>
          <w:bCs w:val="1"/>
          <w:sz w:val="20"/>
          <w:szCs w:val="20"/>
        </w:rPr>
        <w:t>en función de los diferentes tipos de inspección a realizar</w:t>
      </w:r>
    </w:p>
    <w:p w:rsidR="00846B7C" w:rsidRDefault="00846B7C" w14:paraId="4D30413F" w14:textId="77777777">
      <w:pPr>
        <w:pBdr>
          <w:top w:val="none" w:color="000000" w:sz="0" w:space="0"/>
          <w:bottom w:val="none" w:color="000000" w:sz="0" w:space="0"/>
          <w:right w:val="none" w:color="000000" w:sz="0" w:space="0"/>
          <w:between w:val="none" w:color="000000" w:sz="0" w:space="0"/>
        </w:pBdr>
        <w:ind w:left="720"/>
        <w:jc w:val="both"/>
        <w:rPr>
          <w:rFonts w:ascii="Roboto" w:hAnsi="Roboto" w:eastAsia="Roboto" w:cs="Roboto"/>
          <w:b/>
          <w:sz w:val="20"/>
          <w:szCs w:val="20"/>
        </w:rPr>
      </w:pPr>
    </w:p>
    <w:p w:rsidR="00846B7C" w:rsidRDefault="00A25F41" w14:paraId="4D304140" w14:textId="11538F3C">
      <w:pPr>
        <w:numPr>
          <w:ilvl w:val="0"/>
          <w:numId w:val="1"/>
        </w:numPr>
        <w:pBdr>
          <w:top w:val="none" w:color="000000" w:sz="0" w:space="0"/>
          <w:bottom w:val="none" w:color="000000" w:sz="0" w:space="0"/>
          <w:right w:val="none" w:color="000000" w:sz="0" w:space="0"/>
          <w:between w:val="none" w:color="000000" w:sz="0" w:space="0"/>
        </w:pBdr>
        <w:ind w:left="1080"/>
        <w:jc w:val="both"/>
        <w:rPr>
          <w:rFonts w:ascii="Roboto" w:hAnsi="Roboto" w:eastAsia="Roboto" w:cs="Roboto"/>
          <w:b/>
          <w:sz w:val="20"/>
          <w:szCs w:val="20"/>
        </w:rPr>
      </w:pPr>
      <w:r>
        <w:rPr>
          <w:rFonts w:ascii="Roboto" w:hAnsi="Roboto" w:eastAsia="Roboto" w:cs="Roboto"/>
          <w:b/>
          <w:sz w:val="20"/>
          <w:szCs w:val="20"/>
        </w:rPr>
        <w:t>Enagás, como Gestor Técnico del Sistema y entidad responsable del sistema de garantías de origen del gas procedente de fuentes renovables</w:t>
      </w:r>
      <w:r w:rsidR="008B2E3B">
        <w:rPr>
          <w:rFonts w:ascii="Roboto" w:hAnsi="Roboto" w:eastAsia="Roboto" w:cs="Roboto"/>
          <w:b/>
          <w:sz w:val="20"/>
          <w:szCs w:val="20"/>
        </w:rPr>
        <w:t>,</w:t>
      </w:r>
      <w:r>
        <w:rPr>
          <w:rFonts w:ascii="Roboto" w:hAnsi="Roboto" w:eastAsia="Roboto" w:cs="Roboto"/>
          <w:b/>
          <w:sz w:val="20"/>
          <w:szCs w:val="20"/>
        </w:rPr>
        <w:t xml:space="preserve"> ha establecido la necesidad de que las empresas que quieran actuar como “empresas auditoras” dispongan de la correspondiente acreditación de ENAC</w:t>
      </w:r>
    </w:p>
    <w:p w:rsidR="00846B7C" w:rsidRDefault="00846B7C" w14:paraId="4D304141" w14:textId="77777777">
      <w:pPr>
        <w:pBdr>
          <w:top w:val="none" w:color="000000" w:sz="0" w:space="0"/>
          <w:bottom w:val="none" w:color="000000" w:sz="0" w:space="0"/>
          <w:right w:val="none" w:color="000000" w:sz="0" w:space="0"/>
          <w:between w:val="none" w:color="000000" w:sz="0" w:space="0"/>
        </w:pBdr>
        <w:ind w:left="720"/>
        <w:jc w:val="both"/>
        <w:rPr>
          <w:rFonts w:ascii="Roboto" w:hAnsi="Roboto" w:eastAsia="Roboto" w:cs="Roboto"/>
          <w:b/>
          <w:sz w:val="20"/>
          <w:szCs w:val="20"/>
        </w:rPr>
      </w:pPr>
    </w:p>
    <w:p w:rsidR="00846B7C" w:rsidRDefault="00846B7C" w14:paraId="4D304142" w14:textId="77777777">
      <w:pPr>
        <w:jc w:val="both"/>
        <w:rPr>
          <w:rFonts w:ascii="Roboto" w:hAnsi="Roboto" w:eastAsia="Roboto" w:cs="Roboto"/>
          <w:b/>
          <w:sz w:val="18"/>
          <w:szCs w:val="18"/>
        </w:rPr>
      </w:pPr>
    </w:p>
    <w:p w:rsidR="00A25F41" w:rsidP="1626CDFF" w:rsidRDefault="00A25F41" w14:paraId="68014449" w14:textId="0D3FB035">
      <w:pPr>
        <w:spacing w:before="0" w:beforeAutospacing="off" w:after="0" w:afterAutospacing="off"/>
        <w:jc w:val="both"/>
        <w:rPr>
          <w:rFonts w:ascii="Roboto" w:hAnsi="Roboto" w:eastAsia="Roboto" w:cs="Roboto"/>
          <w:sz w:val="22"/>
          <w:szCs w:val="22"/>
        </w:rPr>
      </w:pPr>
      <w:r w:rsidRPr="1626CDFF" w:rsidR="00A25F41">
        <w:rPr>
          <w:rFonts w:ascii="Roboto" w:hAnsi="Roboto" w:eastAsia="Roboto" w:cs="Roboto"/>
          <w:sz w:val="22"/>
          <w:szCs w:val="22"/>
        </w:rPr>
        <w:t>Madrid, 2</w:t>
      </w:r>
      <w:r w:rsidRPr="1626CDFF" w:rsidR="31EFBD1A">
        <w:rPr>
          <w:rFonts w:ascii="Roboto" w:hAnsi="Roboto" w:eastAsia="Roboto" w:cs="Roboto"/>
          <w:sz w:val="22"/>
          <w:szCs w:val="22"/>
        </w:rPr>
        <w:t>8</w:t>
      </w:r>
      <w:r w:rsidRPr="1626CDFF" w:rsidR="00A25F41">
        <w:rPr>
          <w:rFonts w:ascii="Roboto" w:hAnsi="Roboto" w:eastAsia="Roboto" w:cs="Roboto"/>
          <w:sz w:val="22"/>
          <w:szCs w:val="22"/>
        </w:rPr>
        <w:t xml:space="preserve"> de febrero de 2025.-</w:t>
      </w:r>
      <w:r w:rsidRPr="1626CDFF" w:rsidR="356BCF3D">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 La </w:t>
      </w:r>
      <w:hyperlink r:id="R15445e042a6846ae">
        <w:r w:rsidRPr="1626CDFF" w:rsidR="356BCF3D">
          <w:rPr>
            <w:rStyle w:val="Hyperlink"/>
            <w:rFonts w:ascii="Roboto" w:hAnsi="Roboto" w:eastAsia="Roboto" w:cs="Roboto"/>
            <w:b w:val="0"/>
            <w:bCs w:val="0"/>
            <w:i w:val="0"/>
            <w:iCs w:val="0"/>
            <w:strike w:val="0"/>
            <w:dstrike w:val="0"/>
            <w:noProof w:val="0"/>
            <w:color w:val="000000" w:themeColor="text1" w:themeTint="FF" w:themeShade="FF"/>
            <w:sz w:val="22"/>
            <w:szCs w:val="22"/>
            <w:u w:val="none"/>
            <w:lang w:val="es-ES"/>
          </w:rPr>
          <w:t>Entidad Nacional de Acreditación</w:t>
        </w:r>
      </w:hyperlink>
      <w:r w:rsidRPr="1626CDFF" w:rsidR="356BCF3D">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 (ENAC) ha desarrollado, a instancias y en colaboración con Enagás, un esquema de acreditación que contempla los requisitos para la inspección de las instalaciones en función de los diferentes tipos de inspección a realizar. </w:t>
      </w:r>
    </w:p>
    <w:p w:rsidR="1626CDFF" w:rsidP="1626CDFF" w:rsidRDefault="1626CDFF" w14:paraId="408530D2" w14:textId="001E6FD0">
      <w:pPr>
        <w:jc w:val="both"/>
      </w:pPr>
    </w:p>
    <w:p w:rsidR="00846B7C" w:rsidRDefault="00A25F41" w14:paraId="4D304145" w14:textId="77777777">
      <w:pPr>
        <w:spacing w:after="160"/>
        <w:jc w:val="both"/>
        <w:rPr>
          <w:rFonts w:ascii="Roboto" w:hAnsi="Roboto" w:eastAsia="Roboto" w:cs="Roboto"/>
          <w:sz w:val="22"/>
          <w:szCs w:val="22"/>
        </w:rPr>
      </w:pPr>
      <w:r>
        <w:rPr>
          <w:rFonts w:ascii="Roboto" w:hAnsi="Roboto" w:eastAsia="Roboto" w:cs="Roboto"/>
          <w:sz w:val="22"/>
          <w:szCs w:val="22"/>
        </w:rPr>
        <w:t xml:space="preserve">Los gases renovables (biogás e hidrógeno, entre otros) pueden contribuir a la descarbonización de la economía en aquellos usos cuya electrificación presenta mayores dificultades técnicas o económicas. Uno de los principales mecanismos para favorecer el despliegue de los gases renovables es la </w:t>
      </w:r>
      <w:r>
        <w:rPr>
          <w:rFonts w:ascii="Roboto" w:hAnsi="Roboto" w:eastAsia="Roboto" w:cs="Roboto"/>
          <w:b/>
          <w:sz w:val="22"/>
          <w:szCs w:val="22"/>
        </w:rPr>
        <w:t>determinación de un sistema de garantías de origen que acredite la utilización de fuentes renovables en la producción de estos</w:t>
      </w:r>
      <w:r>
        <w:rPr>
          <w:rFonts w:ascii="Roboto" w:hAnsi="Roboto" w:eastAsia="Roboto" w:cs="Roboto"/>
          <w:sz w:val="22"/>
          <w:szCs w:val="22"/>
        </w:rPr>
        <w:t>.</w:t>
      </w:r>
    </w:p>
    <w:p w:rsidR="00846B7C" w:rsidRDefault="00A25F41" w14:paraId="4D304146" w14:textId="77777777">
      <w:pPr>
        <w:spacing w:after="160"/>
        <w:jc w:val="both"/>
        <w:rPr>
          <w:rFonts w:ascii="Roboto" w:hAnsi="Roboto" w:eastAsia="Roboto" w:cs="Roboto"/>
          <w:sz w:val="22"/>
          <w:szCs w:val="22"/>
        </w:rPr>
      </w:pPr>
      <w:r>
        <w:rPr>
          <w:rFonts w:ascii="Roboto" w:hAnsi="Roboto" w:eastAsia="Roboto" w:cs="Roboto"/>
          <w:sz w:val="22"/>
          <w:szCs w:val="22"/>
        </w:rPr>
        <w:t xml:space="preserve">Las garantías de origen para gases renovables (GdO) se convierten, así, en una herramienta clave para promover el desarrollo de fuentes de energía limpias y reducir la huella de carbono, puesto que </w:t>
      </w:r>
      <w:r>
        <w:rPr>
          <w:rFonts w:ascii="Roboto" w:hAnsi="Roboto" w:eastAsia="Roboto" w:cs="Roboto"/>
          <w:b/>
          <w:sz w:val="22"/>
          <w:szCs w:val="22"/>
        </w:rPr>
        <w:t>acreditan el carácter renovable del gas y aportan información en detalle sobre su producción</w:t>
      </w:r>
      <w:r>
        <w:rPr>
          <w:rFonts w:ascii="Roboto" w:hAnsi="Roboto" w:eastAsia="Roboto" w:cs="Roboto"/>
          <w:sz w:val="22"/>
          <w:szCs w:val="22"/>
        </w:rPr>
        <w:t>.</w:t>
      </w:r>
    </w:p>
    <w:p w:rsidR="00846B7C" w:rsidRDefault="00A25F41" w14:paraId="4D304147" w14:textId="77777777">
      <w:pPr>
        <w:spacing w:after="160"/>
        <w:jc w:val="both"/>
        <w:rPr>
          <w:rFonts w:ascii="Roboto" w:hAnsi="Roboto" w:eastAsia="Roboto" w:cs="Roboto"/>
          <w:sz w:val="22"/>
          <w:szCs w:val="22"/>
        </w:rPr>
      </w:pPr>
      <w:r>
        <w:rPr>
          <w:rFonts w:ascii="Roboto" w:hAnsi="Roboto" w:eastAsia="Roboto" w:cs="Roboto"/>
          <w:sz w:val="22"/>
          <w:szCs w:val="22"/>
        </w:rPr>
        <w:t>Una garantía de origen es un certificado electrónico que acredita el carácter renovable de 1 MWh de gas y aporta información sobre su producción, como la fecha de producción de la energía, el tipo de instalación o el lugar y la fuente de energía empleada, siendo su principal función poder demostrar al consumidor final que una determinada cuota o cantidad de energía se ha obtenido a partir de fuentes renovables.</w:t>
      </w:r>
    </w:p>
    <w:p w:rsidR="00846B7C" w:rsidRDefault="00A25F41" w14:paraId="4D304148" w14:textId="77777777">
      <w:pPr>
        <w:spacing w:after="160"/>
        <w:jc w:val="both"/>
        <w:rPr>
          <w:rFonts w:ascii="Roboto" w:hAnsi="Roboto" w:eastAsia="Roboto" w:cs="Roboto"/>
          <w:sz w:val="22"/>
          <w:szCs w:val="22"/>
        </w:rPr>
      </w:pPr>
      <w:r w:rsidRPr="1626CDFF" w:rsidR="00A25F41">
        <w:rPr>
          <w:rFonts w:ascii="Roboto" w:hAnsi="Roboto" w:eastAsia="Roboto" w:cs="Roboto"/>
          <w:sz w:val="22"/>
          <w:szCs w:val="22"/>
        </w:rPr>
        <w:t xml:space="preserve">En España, las garantías de origen para gases renovables están reguladas por el </w:t>
      </w:r>
      <w:hyperlink r:id="R9c516ad88e654b30">
        <w:r w:rsidRPr="1626CDFF" w:rsidR="00A25F41">
          <w:rPr>
            <w:rFonts w:ascii="Roboto" w:hAnsi="Roboto" w:eastAsia="Roboto" w:cs="Roboto"/>
            <w:b w:val="1"/>
            <w:bCs w:val="1"/>
            <w:sz w:val="22"/>
            <w:szCs w:val="22"/>
            <w:u w:val="single"/>
          </w:rPr>
          <w:t>Real Decreto 376/2022</w:t>
        </w:r>
      </w:hyperlink>
      <w:r w:rsidRPr="1626CDFF" w:rsidR="00A25F41">
        <w:rPr>
          <w:rFonts w:ascii="Roboto" w:hAnsi="Roboto" w:eastAsia="Roboto" w:cs="Roboto"/>
          <w:sz w:val="22"/>
          <w:szCs w:val="22"/>
        </w:rPr>
        <w:t xml:space="preserve">, de 17 de mayo, "por el que se regulan los criterios de sostenibilidad y de reducción de las emisiones de gases de efecto invernadero de los biocarburantes, biolíquidos y combustibles de biomasa, así como el sistema de garantías de origen de los gases renovables”, desarrollado posteriormente mediante la </w:t>
      </w:r>
      <w:hyperlink r:id="Rff0e643970304316">
        <w:r w:rsidRPr="1626CDFF" w:rsidR="00A25F41">
          <w:rPr>
            <w:rFonts w:ascii="Roboto" w:hAnsi="Roboto" w:eastAsia="Roboto" w:cs="Roboto"/>
            <w:b w:val="1"/>
            <w:bCs w:val="1"/>
            <w:sz w:val="22"/>
            <w:szCs w:val="22"/>
            <w:u w:val="single"/>
          </w:rPr>
          <w:t>Orden TED/1026/2022,</w:t>
        </w:r>
      </w:hyperlink>
      <w:r w:rsidRPr="1626CDFF" w:rsidR="00A25F41">
        <w:rPr>
          <w:rFonts w:ascii="Roboto" w:hAnsi="Roboto" w:eastAsia="Roboto" w:cs="Roboto"/>
          <w:sz w:val="22"/>
          <w:szCs w:val="22"/>
        </w:rPr>
        <w:t xml:space="preserve"> de 28 de octubre, “por la que se aprueba el procedimiento de gestión del sistema de garantías de origen del gas procedente de fuentes renovables”.</w:t>
      </w:r>
    </w:p>
    <w:p w:rsidR="00846B7C" w:rsidP="1626CDFF" w:rsidRDefault="00846B7C" w14:paraId="229D3422" w14:textId="559F3DD2">
      <w:pPr>
        <w:spacing w:before="0" w:beforeAutospacing="off" w:after="160" w:afterAutospacing="off"/>
        <w:jc w:val="both"/>
      </w:pPr>
      <w:r w:rsidRPr="1626CDFF" w:rsidR="0BECA840">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Una pieza clave en el desarrollo de este sistema de garantías lo constituyen las “empresas auditoras” reguladas en la citada orden TED, y que tienen como misión llevar a cabo los controles periódicos sobre el cumplimiento del sistema por parte de las instalaciones de producción de gases renovables inscritas en el sistema. Para disponer de la adecuada confianza en el desempeño de estas empresas, Enagás, como Gestor Técnico del Sistema y entidad responsable del sistema de garantías de origen del gas procedente de fuentes renovables </w:t>
      </w:r>
      <w:r w:rsidRPr="1626CDFF" w:rsidR="0BECA840">
        <w:rPr>
          <w:rFonts w:ascii="Roboto" w:hAnsi="Roboto" w:eastAsia="Roboto" w:cs="Roboto"/>
          <w:b w:val="1"/>
          <w:bCs w:val="1"/>
          <w:i w:val="0"/>
          <w:iCs w:val="0"/>
          <w:strike w:val="0"/>
          <w:dstrike w:val="0"/>
          <w:noProof w:val="0"/>
          <w:color w:val="000000" w:themeColor="text1" w:themeTint="FF" w:themeShade="FF"/>
          <w:sz w:val="22"/>
          <w:szCs w:val="22"/>
          <w:u w:val="none"/>
          <w:lang w:val="es-ES"/>
        </w:rPr>
        <w:t>ha establecido la necesidad de que las empresas que quieran actuar como “empresas auditoras” dispongan de la correspondiente acreditación de ENAC</w:t>
      </w:r>
      <w:r w:rsidRPr="1626CDFF" w:rsidR="0BECA840">
        <w:rPr>
          <w:rFonts w:ascii="Roboto" w:hAnsi="Roboto" w:eastAsia="Roboto" w:cs="Roboto"/>
          <w:b w:val="0"/>
          <w:bCs w:val="0"/>
          <w:i w:val="0"/>
          <w:iCs w:val="0"/>
          <w:strike w:val="0"/>
          <w:dstrike w:val="0"/>
          <w:noProof w:val="0"/>
          <w:color w:val="000000" w:themeColor="text1" w:themeTint="FF" w:themeShade="FF"/>
          <w:sz w:val="22"/>
          <w:szCs w:val="22"/>
          <w:u w:val="none"/>
          <w:lang w:val="es-ES"/>
        </w:rPr>
        <w:t>.</w:t>
      </w:r>
    </w:p>
    <w:p w:rsidR="00846B7C" w:rsidP="1626CDFF" w:rsidRDefault="00846B7C" w14:paraId="4D304150" w14:textId="486BAFFF">
      <w:pPr>
        <w:spacing w:before="0" w:beforeAutospacing="off" w:after="160" w:afterAutospacing="off"/>
        <w:jc w:val="both"/>
        <w:rPr>
          <w:rFonts w:ascii="Roboto" w:hAnsi="Roboto" w:eastAsia="Roboto" w:cs="Roboto"/>
          <w:sz w:val="22"/>
          <w:szCs w:val="22"/>
        </w:rPr>
      </w:pPr>
      <w:r w:rsidRPr="1626CDFF" w:rsidR="0BECA840">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Por ello, Enagás y ENAC han colaborado en la elaboración del documento que define el esquema de acreditación basado en la norma UNE-EN ISO/IEC 17020. </w:t>
      </w:r>
      <w:r w:rsidRPr="1626CDFF" w:rsidR="0BECA840">
        <w:rPr>
          <w:rFonts w:ascii="Roboto" w:hAnsi="Roboto" w:eastAsia="Roboto" w:cs="Roboto"/>
          <w:b w:val="0"/>
          <w:bCs w:val="0"/>
          <w:i w:val="0"/>
          <w:iCs w:val="0"/>
          <w:strike w:val="0"/>
          <w:dstrike w:val="0"/>
          <w:noProof w:val="0"/>
          <w:color w:val="000000" w:themeColor="text1" w:themeTint="FF" w:themeShade="FF"/>
          <w:sz w:val="22"/>
          <w:szCs w:val="22"/>
          <w:u w:val="none"/>
          <w:lang w:val="es-ES"/>
        </w:rPr>
        <w:t>Dicho documento está disponible ya en la página web de Enagás, por lo que ENAC ya está en disposición de recibir solicitudes de acreditación e iniciar los correspondientes procesos de evaluación.</w:t>
      </w:r>
      <w:sdt>
        <w:sdtPr>
          <w:id w:val="-165640330"/>
          <w:tag w:val="goog_rdk_12"/>
          <w:placeholder>
            <w:docPart w:val="DefaultPlaceholder_1081868574"/>
          </w:placeholder>
        </w:sdtPr>
        <w:sdtContent>
          <w:sdt>
            <w:sdtPr>
              <w:id w:val="1198968498"/>
              <w:tag w:val="goog_rdk_11"/>
              <w:showingPlcHdr/>
              <w:placeholder>
                <w:docPart w:val="DefaultPlaceholder_1081868574"/>
              </w:placeholder>
            </w:sdtPr>
            <w:sdtContent>
              <w:r w:rsidR="3E6FB7B4">
                <w:rPr/>
                <w:t xml:space="preserve">     </w:t>
              </w:r>
            </w:sdtContent>
          </w:sdt>
        </w:sdtContent>
      </w:sdt>
    </w:p>
    <w:p w:rsidR="00846B7C" w:rsidRDefault="00A25F41" w14:paraId="4D30415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Roboto" w:hAnsi="Roboto" w:eastAsia="Roboto" w:cs="Roboto"/>
          <w:color w:val="E83544"/>
          <w:sz w:val="22"/>
          <w:szCs w:val="22"/>
        </w:rPr>
      </w:pPr>
      <w:r>
        <w:rPr>
          <w:rFonts w:ascii="Roboto" w:hAnsi="Roboto" w:eastAsia="Roboto" w:cs="Roboto"/>
          <w:b/>
          <w:color w:val="E83544"/>
          <w:sz w:val="22"/>
          <w:szCs w:val="22"/>
        </w:rPr>
        <w:t>Sobre ENAC</w:t>
      </w:r>
      <w:r>
        <w:rPr>
          <w:rFonts w:ascii="Roboto" w:hAnsi="Roboto" w:eastAsia="Roboto" w:cs="Roboto"/>
          <w:color w:val="E83544"/>
          <w:sz w:val="22"/>
          <w:szCs w:val="22"/>
        </w:rPr>
        <w:t xml:space="preserve"> </w:t>
      </w:r>
    </w:p>
    <w:p w:rsidR="00846B7C" w:rsidRDefault="00A25F41" w14:paraId="4D30415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rsidR="00846B7C" w:rsidRDefault="00846B7C" w14:paraId="4D30415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846B7C" w:rsidRDefault="00A25F41" w14:paraId="4D30415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rsidR="00846B7C" w:rsidRDefault="00846B7C" w14:paraId="4D30415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846B7C" w:rsidRDefault="00A25F41" w14:paraId="4D30415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rsidR="00846B7C" w:rsidRDefault="00846B7C" w14:paraId="4D304157" w14:textId="77777777">
      <w:pPr>
        <w:jc w:val="both"/>
        <w:rPr>
          <w:rFonts w:ascii="Roboto" w:hAnsi="Roboto" w:eastAsia="Roboto" w:cs="Roboto"/>
          <w:sz w:val="22"/>
          <w:szCs w:val="22"/>
        </w:rPr>
      </w:pPr>
    </w:p>
    <w:p w:rsidR="00846B7C" w:rsidRDefault="00A25F41" w14:paraId="4D304158" w14:textId="77777777">
      <w:pPr>
        <w:pBdr>
          <w:bottom w:val="single" w:color="000000" w:sz="12" w:space="1"/>
        </w:pBdr>
        <w:jc w:val="both"/>
        <w:rPr>
          <w:rFonts w:ascii="Roboto" w:hAnsi="Roboto" w:eastAsia="Roboto" w:cs="Roboto"/>
          <w:color w:val="E83544"/>
          <w:sz w:val="22"/>
          <w:szCs w:val="22"/>
        </w:rPr>
      </w:pPr>
      <w:hyperlink r:id="rId13">
        <w:r>
          <w:rPr>
            <w:rFonts w:ascii="Roboto" w:hAnsi="Roboto" w:eastAsia="Roboto" w:cs="Roboto"/>
            <w:color w:val="E83544"/>
            <w:sz w:val="22"/>
            <w:szCs w:val="22"/>
            <w:u w:val="single"/>
          </w:rPr>
          <w:t>www.enac.es</w:t>
        </w:r>
      </w:hyperlink>
      <w:r>
        <w:rPr>
          <w:rFonts w:ascii="Roboto" w:hAnsi="Roboto" w:eastAsia="Roboto" w:cs="Roboto"/>
          <w:color w:val="E83544"/>
          <w:sz w:val="22"/>
          <w:szCs w:val="22"/>
        </w:rPr>
        <w:t xml:space="preserve"> </w:t>
      </w:r>
    </w:p>
    <w:p w:rsidR="00846B7C" w:rsidRDefault="00846B7C" w14:paraId="4D304159" w14:textId="77777777">
      <w:pPr>
        <w:pBdr>
          <w:bottom w:val="single" w:color="000000" w:sz="12" w:space="1"/>
        </w:pBdr>
        <w:jc w:val="both"/>
        <w:rPr>
          <w:rFonts w:ascii="Roboto" w:hAnsi="Roboto" w:eastAsia="Roboto" w:cs="Roboto"/>
          <w:color w:val="E83544"/>
          <w:sz w:val="22"/>
          <w:szCs w:val="22"/>
        </w:rPr>
      </w:pPr>
    </w:p>
    <w:p w:rsidR="00846B7C" w:rsidRDefault="00A25F41" w14:paraId="4D30415A" w14:textId="77777777">
      <w:pPr>
        <w:pBdr>
          <w:bottom w:val="single" w:color="000000" w:sz="12" w:space="1"/>
        </w:pBdr>
        <w:jc w:val="both"/>
        <w:rPr>
          <w:rFonts w:ascii="Roboto" w:hAnsi="Roboto" w:eastAsia="Roboto" w:cs="Roboto"/>
          <w:sz w:val="22"/>
          <w:szCs w:val="22"/>
        </w:rPr>
      </w:pP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114300" distB="114300" distL="114300" distR="114300" wp14:anchorId="4D304160" wp14:editId="4D304161">
            <wp:extent cx="297039" cy="297039"/>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97039" cy="297039"/>
                    </a:xfrm>
                    <a:prstGeom prst="rect">
                      <a:avLst/>
                    </a:prstGeom>
                    <a:ln/>
                  </pic:spPr>
                </pic:pic>
              </a:graphicData>
            </a:graphic>
          </wp:inline>
        </w:drawing>
      </w: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0" distB="0" distL="0" distR="0" wp14:anchorId="4D304162" wp14:editId="4D304163">
            <wp:extent cx="304800" cy="3048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04800" cy="304800"/>
                    </a:xfrm>
                    <a:prstGeom prst="rect">
                      <a:avLst/>
                    </a:prstGeom>
                    <a:ln/>
                  </pic:spPr>
                </pic:pic>
              </a:graphicData>
            </a:graphic>
          </wp:inline>
        </w:drawing>
      </w:r>
    </w:p>
    <w:p w:rsidR="00846B7C" w:rsidRDefault="00846B7C" w14:paraId="4D30415B" w14:textId="77777777">
      <w:pPr>
        <w:pBdr>
          <w:bottom w:val="single" w:color="000000" w:sz="12" w:space="1"/>
        </w:pBdr>
        <w:jc w:val="both"/>
        <w:rPr>
          <w:rFonts w:ascii="Roboto" w:hAnsi="Roboto" w:eastAsia="Roboto" w:cs="Roboto"/>
          <w:color w:val="E83544"/>
          <w:sz w:val="22"/>
          <w:szCs w:val="22"/>
        </w:rPr>
      </w:pPr>
    </w:p>
    <w:p w:rsidR="00846B7C" w:rsidRDefault="00846B7C" w14:paraId="4D30415C" w14:textId="77777777">
      <w:pPr>
        <w:jc w:val="both"/>
        <w:rPr>
          <w:rFonts w:ascii="Roboto" w:hAnsi="Roboto" w:eastAsia="Roboto" w:cs="Roboto"/>
          <w:color w:val="E83544"/>
          <w:sz w:val="22"/>
          <w:szCs w:val="22"/>
        </w:rPr>
      </w:pPr>
    </w:p>
    <w:p w:rsidR="00846B7C" w:rsidRDefault="00A25F41" w14:paraId="4D30415D" w14:textId="77777777">
      <w:pPr>
        <w:jc w:val="both"/>
        <w:rPr>
          <w:rFonts w:ascii="Roboto" w:hAnsi="Roboto" w:eastAsia="Roboto" w:cs="Roboto"/>
          <w:sz w:val="22"/>
          <w:szCs w:val="22"/>
        </w:rPr>
      </w:pPr>
      <w:r>
        <w:rPr>
          <w:rFonts w:ascii="Roboto" w:hAnsi="Roboto" w:eastAsia="Roboto" w:cs="Roboto"/>
          <w:sz w:val="22"/>
          <w:szCs w:val="22"/>
        </w:rPr>
        <w:t>Para más información sobre la nota de prensa, resolver dudas o gestionar entrevistas</w:t>
      </w:r>
    </w:p>
    <w:p w:rsidR="00846B7C" w:rsidRDefault="00A25F41" w14:paraId="4D30415E" w14:textId="77777777">
      <w:pPr>
        <w:jc w:val="both"/>
        <w:rPr>
          <w:rFonts w:ascii="Roboto" w:hAnsi="Roboto" w:eastAsia="Roboto" w:cs="Roboto"/>
          <w:sz w:val="22"/>
          <w:szCs w:val="22"/>
        </w:rPr>
      </w:pPr>
      <w:r>
        <w:rPr>
          <w:rFonts w:ascii="Roboto" w:hAnsi="Roboto" w:eastAsia="Roboto" w:cs="Roboto"/>
          <w:sz w:val="22"/>
          <w:szCs w:val="22"/>
        </w:rPr>
        <w:t>Eva Martín</w:t>
      </w:r>
    </w:p>
    <w:p w:rsidR="00846B7C" w:rsidRDefault="00A25F41" w14:paraId="4D30415F" w14:textId="77777777">
      <w:pPr>
        <w:jc w:val="both"/>
        <w:rPr>
          <w:rFonts w:ascii="Calibri" w:hAnsi="Calibri" w:eastAsia="Calibri" w:cs="Calibri"/>
          <w:highlight w:val="white"/>
        </w:rPr>
      </w:pPr>
      <w:r>
        <w:rPr>
          <w:rFonts w:ascii="Roboto" w:hAnsi="Roboto" w:eastAsia="Roboto" w:cs="Roboto"/>
          <w:sz w:val="22"/>
          <w:szCs w:val="22"/>
        </w:rPr>
        <w:t xml:space="preserve">Tfno. 628 17 49 01 / </w:t>
      </w:r>
      <w:r>
        <w:rPr>
          <w:rFonts w:ascii="Roboto" w:hAnsi="Roboto" w:eastAsia="Roboto" w:cs="Roboto"/>
          <w:color w:val="E83544"/>
          <w:sz w:val="22"/>
          <w:szCs w:val="22"/>
        </w:rPr>
        <w:t xml:space="preserve"> </w:t>
      </w:r>
      <w:hyperlink r:id="rId16">
        <w:r>
          <w:rPr>
            <w:rFonts w:ascii="Roboto" w:hAnsi="Roboto" w:eastAsia="Roboto" w:cs="Roboto"/>
            <w:color w:val="E83544"/>
            <w:sz w:val="22"/>
            <w:szCs w:val="22"/>
            <w:u w:val="single"/>
          </w:rPr>
          <w:t>evamc@varenga.es</w:t>
        </w:r>
      </w:hyperlink>
    </w:p>
    <w:sectPr w:rsidR="00846B7C">
      <w:headerReference w:type="even" r:id="rId17"/>
      <w:headerReference w:type="default" r:id="rId18"/>
      <w:footerReference w:type="even" r:id="rId19"/>
      <w:footerReference w:type="default" r:id="rId20"/>
      <w:headerReference w:type="first" r:id="rId21"/>
      <w:footerReference w:type="first" r:id="rId22"/>
      <w:pgSz w:w="11906" w:h="16838" w:orient="portrait"/>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25F41" w:rsidRDefault="00A25F41" w14:paraId="4F0118C6" w14:textId="77777777">
      <w:r>
        <w:separator/>
      </w:r>
    </w:p>
  </w:endnote>
  <w:endnote w:type="continuationSeparator" w:id="0">
    <w:p w:rsidR="00A25F41" w:rsidRDefault="00A25F41" w14:paraId="0B107C29" w14:textId="77777777">
      <w:r>
        <w:continuationSeparator/>
      </w:r>
    </w:p>
  </w:endnote>
  <w:endnote w:type="continuationNotice" w:id="1">
    <w:p w:rsidR="0020560A" w:rsidRDefault="0020560A" w14:paraId="46FF9CD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w:fontKey="{678F4D4E-5BC5-4982-9AFA-C26F1438AF1F}" r:id="rId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360E3D73-09A3-420D-B305-665D978720F9}" r:id="rId2"/>
    <w:embedItalic w:fontKey="{407E1066-A3F5-4410-995C-B38580195F50}" r:id="rId3"/>
  </w:font>
  <w:font w:name="Roboto">
    <w:charset w:val="00"/>
    <w:family w:val="auto"/>
    <w:pitch w:val="variable"/>
    <w:sig w:usb0="E0000AFF" w:usb1="5000217F" w:usb2="00000021" w:usb3="00000000" w:csb0="0000019F" w:csb1="00000000"/>
    <w:embedRegular w:fontKey="{F8FF22F3-7FEE-4BB2-8290-4EFC08C94588}" r:id="rId4"/>
    <w:embedBold w:fontKey="{892962B3-119B-494E-B9B9-DB42624D89E5}" r:id="rId5"/>
  </w:font>
  <w:font w:name="Calibri">
    <w:panose1 w:val="020F0502020204030204"/>
    <w:charset w:val="00"/>
    <w:family w:val="swiss"/>
    <w:pitch w:val="variable"/>
    <w:sig w:usb0="E4002EFF" w:usb1="C000247B" w:usb2="00000009" w:usb3="00000000" w:csb0="000001FF" w:csb1="00000000"/>
    <w:embedRegular w:fontKey="{A9B5848E-5CE3-4544-9FB4-BE6B45189AE1}" r:id="rId6"/>
    <w:embedBold w:fontKey="{0D1BEA68-9829-4C5C-83BD-BA588D49C856}" r:id="rId7"/>
  </w:font>
  <w:font w:name="Cambria">
    <w:panose1 w:val="02040503050406030204"/>
    <w:charset w:val="00"/>
    <w:family w:val="roman"/>
    <w:pitch w:val="variable"/>
    <w:sig w:usb0="E00006FF" w:usb1="420024FF" w:usb2="02000000" w:usb3="00000000" w:csb0="0000019F" w:csb1="00000000"/>
    <w:embedRegular w:fontKey="{F192418A-BA68-41F6-B08C-C34A9A89242D}"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6B7C" w:rsidRDefault="00846B7C" w14:paraId="4D304168" w14:textId="7777777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6B7C" w:rsidRDefault="00A25F41" w14:paraId="4D304169" w14:textId="48B73F55">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8B2E3B">
      <w:rPr>
        <w:noProof/>
        <w:color w:val="000000"/>
      </w:rPr>
      <w:t>1</w:t>
    </w:r>
    <w:r>
      <w:rPr>
        <w:color w:val="000000"/>
      </w:rPr>
      <w:fldChar w:fldCharType="end"/>
    </w:r>
  </w:p>
  <w:p w:rsidR="00846B7C" w:rsidRDefault="00846B7C" w14:paraId="4D30416A" w14:textId="77777777">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6B7C" w:rsidRDefault="00846B7C" w14:paraId="4D30416C" w14:textId="777777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25F41" w:rsidRDefault="00A25F41" w14:paraId="3526B237" w14:textId="77777777">
      <w:r>
        <w:separator/>
      </w:r>
    </w:p>
  </w:footnote>
  <w:footnote w:type="continuationSeparator" w:id="0">
    <w:p w:rsidR="00A25F41" w:rsidRDefault="00A25F41" w14:paraId="2F27FA29" w14:textId="77777777">
      <w:r>
        <w:continuationSeparator/>
      </w:r>
    </w:p>
  </w:footnote>
  <w:footnote w:type="continuationNotice" w:id="1">
    <w:p w:rsidR="0020560A" w:rsidRDefault="0020560A" w14:paraId="0DC9862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6B7C" w:rsidRDefault="00846B7C" w14:paraId="4D304164" w14:textId="7777777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46B7C" w:rsidRDefault="00A25F41" w14:paraId="4D304165" w14:textId="77777777">
    <w:pPr>
      <w:ind w:left="-120"/>
      <w:jc w:val="both"/>
      <w:rPr>
        <w:rFonts w:ascii="Calibri" w:hAnsi="Calibri" w:eastAsia="Calibri" w:cs="Calibri"/>
        <w:b/>
        <w:sz w:val="40"/>
        <w:szCs w:val="40"/>
      </w:rPr>
    </w:pPr>
    <w:r>
      <w:rPr>
        <w:noProof/>
      </w:rPr>
      <w:drawing>
        <wp:anchor distT="114300" distB="114300" distL="114300" distR="114300" simplePos="0" relativeHeight="251658240" behindDoc="0" locked="0" layoutInCell="1" hidden="0" allowOverlap="1" wp14:anchorId="4D30416D" wp14:editId="4D30416E">
          <wp:simplePos x="0" y="0"/>
          <wp:positionH relativeFrom="column">
            <wp:posOffset>4114800</wp:posOffset>
          </wp:positionH>
          <wp:positionV relativeFrom="paragraph">
            <wp:posOffset>-304778</wp:posOffset>
          </wp:positionV>
          <wp:extent cx="1547842" cy="997267"/>
          <wp:effectExtent l="0" t="0" r="0" b="0"/>
          <wp:wrapSquare wrapText="bothSides" distT="114300" distB="114300" distL="114300" distR="114300"/>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rsidR="00846B7C" w:rsidRDefault="00A25F41" w14:paraId="4D304166" w14:textId="77777777">
    <w:pPr>
      <w:ind w:left="-120"/>
      <w:jc w:val="both"/>
      <w:rPr>
        <w:rFonts w:ascii="Roboto" w:hAnsi="Roboto" w:eastAsia="Roboto" w:cs="Roboto"/>
        <w:sz w:val="22"/>
        <w:szCs w:val="22"/>
      </w:rPr>
    </w:pPr>
    <w:r>
      <w:rPr>
        <w:rFonts w:ascii="Roboto" w:hAnsi="Roboto" w:eastAsia="Roboto" w:cs="Roboto"/>
        <w:b/>
        <w:sz w:val="40"/>
        <w:szCs w:val="40"/>
      </w:rPr>
      <w:t>NOTA DE PRENSA</w:t>
    </w:r>
    <w:r>
      <w:rPr>
        <w:rFonts w:ascii="Roboto" w:hAnsi="Roboto" w:eastAsia="Roboto" w:cs="Roboto"/>
        <w:sz w:val="22"/>
        <w:szCs w:val="22"/>
      </w:rPr>
      <w:t xml:space="preserve"> </w:t>
    </w:r>
  </w:p>
  <w:p w:rsidR="00846B7C" w:rsidRDefault="00846B7C" w14:paraId="4D304167" w14:textId="77777777">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6B7C" w:rsidRDefault="00846B7C" w14:paraId="4D30416B" w14:textId="7777777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425C9D"/>
    <w:multiLevelType w:val="multilevel"/>
    <w:tmpl w:val="8DE65068"/>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0935989">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8"/>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B7C"/>
    <w:rsid w:val="0020560A"/>
    <w:rsid w:val="003B53AF"/>
    <w:rsid w:val="0044026D"/>
    <w:rsid w:val="0079022F"/>
    <w:rsid w:val="00846B7C"/>
    <w:rsid w:val="008B2E3B"/>
    <w:rsid w:val="008F7BBC"/>
    <w:rsid w:val="0098357F"/>
    <w:rsid w:val="00A25F41"/>
    <w:rsid w:val="00D53C66"/>
    <w:rsid w:val="00DB28FA"/>
    <w:rsid w:val="00DD7EE6"/>
    <w:rsid w:val="00EE04C4"/>
    <w:rsid w:val="0BECA840"/>
    <w:rsid w:val="1626CDFF"/>
    <w:rsid w:val="31EFBD1A"/>
    <w:rsid w:val="34D09AEE"/>
    <w:rsid w:val="356BCF3D"/>
    <w:rsid w:val="3E6FB7B4"/>
    <w:rsid w:val="443575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0413A"/>
  <w15:docId w15:val="{FF421F8A-9EDA-4D2D-9726-14E568FE7EF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eNormal0" w:customStyle="1">
    <w:name w:val="Table Normal0"/>
    <w:tblPr>
      <w:tblCellMar>
        <w:top w:w="0" w:type="dxa"/>
        <w:left w:w="0" w:type="dxa"/>
        <w:bottom w:w="0" w:type="dxa"/>
        <w:right w:w="0" w:type="dxa"/>
      </w:tblCellMar>
    </w:tblPr>
  </w:style>
  <w:style w:type="table" w:styleId="TableNormal1" w:customStyle="1">
    <w:name w:val="Table Normal1"/>
    <w:tblPr>
      <w:tblCellMar>
        <w:top w:w="0" w:type="dxa"/>
        <w:left w:w="0" w:type="dxa"/>
        <w:bottom w:w="0" w:type="dxa"/>
        <w:right w:w="0" w:type="dxa"/>
      </w:tblCellMar>
    </w:tblPr>
  </w:style>
  <w:style w:type="table" w:styleId="TableNormal2" w:customStyle="1">
    <w:name w:val="Table Normal2"/>
    <w:tblPr>
      <w:tblCellMar>
        <w:top w:w="0" w:type="dxa"/>
        <w:left w:w="0" w:type="dxa"/>
        <w:bottom w:w="0" w:type="dxa"/>
        <w:right w:w="0" w:type="dxa"/>
      </w:tblCellMar>
    </w:tblPr>
  </w:style>
  <w:style w:type="table" w:styleId="TableNormal3" w:customStyle="1">
    <w:name w:val="Table Normal3"/>
    <w:tblPr>
      <w:tblCellMar>
        <w:top w:w="0" w:type="dxa"/>
        <w:left w:w="0" w:type="dxa"/>
        <w:bottom w:w="0" w:type="dxa"/>
        <w:right w:w="0" w:type="dxa"/>
      </w:tblCellMar>
    </w:tblPr>
  </w:style>
  <w:style w:type="table" w:styleId="TableNormal4" w:customStyle="1">
    <w:name w:val="Table Normal4"/>
    <w:tblPr>
      <w:tblCellMar>
        <w:top w:w="0" w:type="dxa"/>
        <w:left w:w="0" w:type="dxa"/>
        <w:bottom w:w="0" w:type="dxa"/>
        <w:right w:w="0" w:type="dxa"/>
      </w:tblCellMar>
    </w:tblPr>
  </w:style>
  <w:style w:type="paragraph" w:styleId="Revisin">
    <w:name w:val="Revision"/>
    <w:hidden/>
    <w:uiPriority w:val="99"/>
    <w:semiHidden/>
    <w:rsid w:val="00A25F41"/>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Encabezado">
    <w:name w:val="header"/>
    <w:basedOn w:val="Normal"/>
    <w:link w:val="EncabezadoCar"/>
    <w:uiPriority w:val="99"/>
    <w:semiHidden/>
    <w:unhideWhenUsed/>
    <w:rsid w:val="0020560A"/>
    <w:pPr>
      <w:tabs>
        <w:tab w:val="center" w:pos="4252"/>
        <w:tab w:val="right" w:pos="8504"/>
      </w:tabs>
    </w:pPr>
  </w:style>
  <w:style w:type="character" w:styleId="EncabezadoCar" w:customStyle="1">
    <w:name w:val="Encabezado Car"/>
    <w:basedOn w:val="Fuentedeprrafopredeter"/>
    <w:link w:val="Encabezado"/>
    <w:uiPriority w:val="99"/>
    <w:semiHidden/>
    <w:rsid w:val="0020560A"/>
  </w:style>
  <w:style w:type="paragraph" w:styleId="Piedepgina">
    <w:name w:val="footer"/>
    <w:basedOn w:val="Normal"/>
    <w:link w:val="PiedepginaCar"/>
    <w:uiPriority w:val="99"/>
    <w:semiHidden/>
    <w:unhideWhenUsed/>
    <w:rsid w:val="0020560A"/>
    <w:pPr>
      <w:tabs>
        <w:tab w:val="center" w:pos="4252"/>
        <w:tab w:val="right" w:pos="8504"/>
      </w:tabs>
    </w:pPr>
  </w:style>
  <w:style w:type="character" w:styleId="PiedepginaCar" w:customStyle="1">
    <w:name w:val="Pie de página Car"/>
    <w:basedOn w:val="Fuentedeprrafopredeter"/>
    <w:link w:val="Piedepgina"/>
    <w:uiPriority w:val="99"/>
    <w:semiHidden/>
    <w:rsid w:val="0020560A"/>
  </w:style>
  <w:style w:type="character" w:styleId="Hyperlink">
    <w:uiPriority w:val="99"/>
    <w:name w:val="Hyperlink"/>
    <w:basedOn w:val="Fuentedeprrafopredeter"/>
    <w:unhideWhenUsed/>
    <w:rsid w:val="1626CD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enac.es" TargetMode="External"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header" Target="header1.xm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mailto:evamc@varenga.es"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microsoft.com/office/2011/relationships/people" Target="people.xml" Id="rId24" /><Relationship Type="http://schemas.openxmlformats.org/officeDocument/2006/relationships/numbering" Target="numbering.xml" Id="rId5" /><Relationship Type="http://schemas.openxmlformats.org/officeDocument/2006/relationships/image" Target="media/image2.png"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4" /><Relationship Type="http://schemas.openxmlformats.org/officeDocument/2006/relationships/footer" Target="footer3.xml" Id="rId22" /><Relationship Type="http://schemas.openxmlformats.org/officeDocument/2006/relationships/hyperlink" Target="https://www.enac.es/" TargetMode="External" Id="R15445e042a6846ae" /><Relationship Type="http://schemas.openxmlformats.org/officeDocument/2006/relationships/hyperlink" Target="https://www.boe.es/diario_boe/txt.php?id=BOE-A-2022-8121" TargetMode="External" Id="R9c516ad88e654b30" /><Relationship Type="http://schemas.openxmlformats.org/officeDocument/2006/relationships/hyperlink" Target="https://boe.es/diario_boe/txt.php?id=BOE-A-2022-17721" TargetMode="External" Id="Rff0e64397030431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mbjibejGbNRHPRtqrlbzjxsuAw==">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</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576DD7-7A72-4F74-8EF2-3D301470A92D}">
  <ds:schemaRefs>
    <ds:schemaRef ds:uri="http://purl.org/dc/elements/1.1/"/>
    <ds:schemaRef ds:uri="http://schemas.microsoft.com/office/2006/metadata/properties"/>
    <ds:schemaRef ds:uri="6e290ce1-b2e7-4ccb-948d-a290ef611fa1"/>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909e21e3-a2e2-47ca-be0e-9c3a9bef9292"/>
    <ds:schemaRef ds:uri="http://www.w3.org/XML/1998/namespace"/>
    <ds:schemaRef ds:uri="http://purl.org/dc/dcmitype/"/>
  </ds:schemaRefs>
</ds:datastoreItem>
</file>

<file path=customXml/itemProps2.xml><?xml version="1.0" encoding="utf-8"?>
<ds:datastoreItem xmlns:ds="http://schemas.openxmlformats.org/officeDocument/2006/customXml" ds:itemID="{F4451396-76C1-4D22-A579-70F33D52F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9DBE0B2C-79E0-4599-988F-BE31EA92FC6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Eva Martín</lastModifiedBy>
  <revision>7</revision>
  <dcterms:created xsi:type="dcterms:W3CDTF">2025-02-27T10:32:00.0000000Z</dcterms:created>
  <dcterms:modified xsi:type="dcterms:W3CDTF">2025-02-28T09:01:54.8114091Z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0x0101009152DE15686E4843A3780C010A78B13A</vt:lpwstr>
  </property>
</Properties>
</file>