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Roboto" w:cs="Roboto" w:eastAsia="Roboto" w:hAnsi="Roboto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Roboto" w:cs="Roboto" w:eastAsia="Roboto" w:hAnsi="Roboto"/>
          <w:b w:val="1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b w:val="1"/>
          <w:sz w:val="30"/>
          <w:szCs w:val="30"/>
          <w:rtl w:val="0"/>
        </w:rPr>
        <w:t xml:space="preserve">Aprobación definitiva del esquema </w:t>
      </w:r>
      <w:r w:rsidDel="00000000" w:rsidR="00000000" w:rsidRPr="00000000">
        <w:rPr>
          <w:rFonts w:ascii="Roboto" w:cs="Roboto" w:eastAsia="Roboto" w:hAnsi="Roboto"/>
          <w:b w:val="1"/>
          <w:sz w:val="30"/>
          <w:szCs w:val="30"/>
          <w:rtl w:val="0"/>
        </w:rPr>
        <w:t xml:space="preserve">SERMI</w:t>
      </w:r>
      <w:r w:rsidDel="00000000" w:rsidR="00000000" w:rsidRPr="00000000">
        <w:rPr>
          <w:rFonts w:ascii="Roboto" w:cs="Roboto" w:eastAsia="Roboto" w:hAnsi="Roboto"/>
          <w:b w:val="1"/>
          <w:sz w:val="30"/>
          <w:szCs w:val="30"/>
          <w:rtl w:val="0"/>
        </w:rPr>
        <w:t xml:space="preserve"> de acceso a la información de seguridad de los vehículos frente al robo</w:t>
      </w:r>
    </w:p>
    <w:p w:rsidR="00000000" w:rsidDel="00000000" w:rsidP="00000000" w:rsidRDefault="00000000" w:rsidRPr="00000000" w14:paraId="00000004">
      <w:pPr>
        <w:jc w:val="left"/>
        <w:rPr>
          <w:rFonts w:ascii="Roboto" w:cs="Roboto" w:eastAsia="Roboto" w:hAnsi="Roboto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both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A partir del 1 de agosto los operadores podrán obtener, con un solo certificado, acceso a toda la información relevante 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vinculada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 a los sistemas de seguridad frente a robos de todos los fabricantes</w:t>
      </w:r>
    </w:p>
    <w:p w:rsidR="00000000" w:rsidDel="00000000" w:rsidP="00000000" w:rsidRDefault="00000000" w:rsidRPr="00000000" w14:paraId="00000006">
      <w:pPr>
        <w:jc w:val="both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El nuevo esquema establece entre sus requisitos que los operadores independientes deberán superar una evaluación de una entidad de inspección, que, a su vez, debe estar acreditada por su organismo nacional de acreditación, en el caso de España, ENAC</w:t>
      </w:r>
    </w:p>
    <w:p w:rsidR="00000000" w:rsidDel="00000000" w:rsidP="00000000" w:rsidRDefault="00000000" w:rsidRPr="00000000" w14:paraId="00000008">
      <w:pPr>
        <w:ind w:left="720" w:firstLine="0"/>
        <w:jc w:val="both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0" w:firstLine="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Madrid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, 27 de junio de 2023.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- Tras varios meses de trabajo, ​la organización europea de acreditadores, ​</w:t>
      </w:r>
      <w:hyperlink r:id="rId7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2"/>
            <w:szCs w:val="22"/>
            <w:u w:val="single"/>
            <w:rtl w:val="0"/>
          </w:rPr>
          <w:t xml:space="preserve">European Accreditation</w:t>
        </w:r>
      </w:hyperlink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(EA)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,​ ha validado la revisión del esquema SERMI que especifica en detalle el proceso de autorización necesario para los operadores independientes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(talleres, fabricantes de herramientas de diagnóstico y software, asistencia técnica, etc.) y sus empleados a la hora de acceder a la información sobre reparación y mantenimiento relacionada con la seguridad frente a robos.</w:t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91.375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​</w:t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El grupo de trabajo de EA que ha colaborado con SERMI para el desarrollo de las modificaciones y adaptaciones a la nueva legislación vigente a escala europea (Reglamento Delegado (UE) 2021/1244) ha sido liderado por​ el organismo de acreditación español, ​ENAC, quien ha mantenido también una estrecha colaboración con las principales asociaciones del sector: CETRAA, GANVAM, AFIBA y CONEPA, entre otras. </w:t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​​​La importancia de este esquema radica en que a partir del 1 de agosto los operadores podrán obtener, con un solo certificado, acceso a toda la información relevante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vinculadas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a los sistemas de seguridad frente a robos de todos los fabricantes. Hasta la fecha, los operadores tenían que solicitar esta información y gestionarla directamente con cada fabricante.​​ </w:t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​​​Entre los requisitos del esquema,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SERMI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ha establecido que 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los operadores independientes deberán superar una evaluación de una entidad de inspección, que, a su vez, debe estar acreditada por su organismo nacional de acreditación como es ENAC, la </w:t>
      </w:r>
      <w:hyperlink r:id="rId8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2"/>
            <w:szCs w:val="22"/>
            <w:u w:val="single"/>
            <w:rtl w:val="0"/>
          </w:rPr>
          <w:t xml:space="preserve">Entidad Nacional de Acreditación</w:t>
        </w:r>
      </w:hyperlink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. La norma de referencia para la obtención de la acreditación por parte de las entidades de inspección que quieran operar en el sistema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SERMI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es la UNE-EN ISO/IEC 17020, junto con los requisitos específicos del esquema.​​ </w:t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​​Los interesados en acceder a esta acreditación pueden ya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solicitarla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a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través de ​la página web de ENAC,</w:t>
      </w:r>
      <w:hyperlink r:id="rId9">
        <w:r w:rsidDel="00000000" w:rsidR="00000000" w:rsidRPr="00000000">
          <w:rPr>
            <w:rFonts w:ascii="Roboto" w:cs="Roboto" w:eastAsia="Roboto" w:hAnsi="Roboto"/>
            <w:sz w:val="22"/>
            <w:szCs w:val="22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Roboto" w:cs="Roboto" w:eastAsia="Roboto" w:hAnsi="Roboto"/>
            <w:color w:val="1155cc"/>
            <w:sz w:val="22"/>
            <w:szCs w:val="22"/>
            <w:u w:val="single"/>
            <w:rtl w:val="0"/>
          </w:rPr>
          <w:t xml:space="preserve">www.enac.es</w:t>
        </w:r>
      </w:hyperlink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​Para más información sobre la acreditación para operar bajo SERMI, se puede consultar el documento del esquema, disponible en la</w:t>
      </w:r>
      <w:hyperlink r:id="rId11">
        <w:r w:rsidDel="00000000" w:rsidR="00000000" w:rsidRPr="00000000">
          <w:rPr>
            <w:rFonts w:ascii="Roboto" w:cs="Roboto" w:eastAsia="Roboto" w:hAnsi="Roboto"/>
            <w:sz w:val="22"/>
            <w:szCs w:val="22"/>
            <w:rtl w:val="0"/>
          </w:rPr>
          <w:t xml:space="preserve"> </w:t>
        </w:r>
      </w:hyperlink>
      <w:hyperlink r:id="rId12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2"/>
            <w:szCs w:val="22"/>
            <w:u w:val="single"/>
            <w:rtl w:val="0"/>
          </w:rPr>
          <w:t xml:space="preserve">página web de </w:t>
        </w:r>
      </w:hyperlink>
      <w:hyperlink r:id="rId13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2"/>
            <w:szCs w:val="22"/>
            <w:u w:val="single"/>
            <w:rtl w:val="0"/>
          </w:rPr>
          <w:t xml:space="preserve">SERMI</w:t>
        </w:r>
      </w:hyperlink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​. </w:t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Roboto" w:cs="Roboto" w:eastAsia="Roboto" w:hAnsi="Roboto"/>
          <w:color w:val="e83544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e83544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Roboto" w:cs="Roboto" w:eastAsia="Roboto" w:hAnsi="Roboto"/>
          <w:b w:val="1"/>
          <w:color w:val="e83544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color w:val="e83544"/>
          <w:sz w:val="22"/>
          <w:szCs w:val="22"/>
          <w:rtl w:val="0"/>
        </w:rPr>
        <w:t xml:space="preserve">Sobre ENAC</w:t>
      </w:r>
    </w:p>
    <w:p w:rsidR="00000000" w:rsidDel="00000000" w:rsidP="00000000" w:rsidRDefault="00000000" w:rsidRPr="00000000" w14:paraId="00000019">
      <w:pPr>
        <w:jc w:val="both"/>
        <w:rPr>
          <w:rFonts w:ascii="Roboto" w:cs="Roboto" w:eastAsia="Roboto" w:hAnsi="Roboto"/>
          <w:b w:val="1"/>
          <w:color w:val="e8354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La Entidad Nacional de Acreditación – ENAC – es la entidad designada por el Gobierno para operar en España como el único Organismo Nacional de Acreditación, en aplicación del Reglamento (CE) nº 765/2008 del Parlamento Europeo que regula el funcionamiento de la acreditación en Europa.</w:t>
      </w:r>
    </w:p>
    <w:p w:rsidR="00000000" w:rsidDel="00000000" w:rsidP="00000000" w:rsidRDefault="00000000" w:rsidRPr="00000000" w14:paraId="0000001B">
      <w:pPr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ENAC tiene como misión generar confianza en el mercado y en la sociedad evaluando, a través de un sistema conforme a normas internacionales, la competencia técnica de laboratorios de ensayo o calibración, entidades de inspección, entidades de certificación y verificadores medioambientales que desarrollen su actividad en cualquier sector: industria,  energía, medio ambiente, sanidad, alimentación, investigación, desarrollo e innovación, transportes, telecomunicaciones, turismo, servicios, construcción, etc. Contribuye, así, a la seguridad y el bienestar de las personas, la calidad de los productos y servicios, la protección del medioambiente y, con ello, al aumento de la competitividad de los productos y servicios españoles y a una disminución de los costes para la sociedad debidos a estas actividades. </w:t>
      </w:r>
    </w:p>
    <w:p w:rsidR="00000000" w:rsidDel="00000000" w:rsidP="00000000" w:rsidRDefault="00000000" w:rsidRPr="00000000" w14:paraId="0000001D">
      <w:pPr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La marca ENAC es la manera de distinguir si un certificado o informe está acreditado o no. Es la garantía de que la organización que lo emite es técnicamente competente para llevar a cabo la tarea que realiza, y lo es tanto en España como en los 100 países en los que la marca de ENAC es reconocida y aceptada gracias a los acuerdos de reconocimiento que ENAC ha suscrito con las entidades de acreditación de esos países.</w:t>
      </w:r>
    </w:p>
    <w:p w:rsidR="00000000" w:rsidDel="00000000" w:rsidP="00000000" w:rsidRDefault="00000000" w:rsidRPr="00000000" w14:paraId="0000001F">
      <w:pPr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bottom w:color="000000" w:space="1" w:sz="12" w:val="single"/>
        </w:pBdr>
        <w:jc w:val="both"/>
        <w:rPr>
          <w:rFonts w:ascii="Roboto" w:cs="Roboto" w:eastAsia="Roboto" w:hAnsi="Roboto"/>
          <w:color w:val="e83544"/>
          <w:sz w:val="22"/>
          <w:szCs w:val="22"/>
        </w:rPr>
      </w:pPr>
      <w:hyperlink r:id="rId14">
        <w:r w:rsidDel="00000000" w:rsidR="00000000" w:rsidRPr="00000000">
          <w:rPr>
            <w:rFonts w:ascii="Roboto" w:cs="Roboto" w:eastAsia="Roboto" w:hAnsi="Roboto"/>
            <w:color w:val="e83544"/>
            <w:sz w:val="22"/>
            <w:szCs w:val="22"/>
            <w:u w:val="single"/>
            <w:rtl w:val="0"/>
          </w:rPr>
          <w:t xml:space="preserve">www.enac.es</w:t>
        </w:r>
      </w:hyperlink>
      <w:r w:rsidDel="00000000" w:rsidR="00000000" w:rsidRPr="00000000">
        <w:rPr>
          <w:rFonts w:ascii="Roboto" w:cs="Roboto" w:eastAsia="Roboto" w:hAnsi="Roboto"/>
          <w:color w:val="e83544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2">
      <w:pPr>
        <w:pBdr>
          <w:bottom w:color="000000" w:space="1" w:sz="12" w:val="single"/>
        </w:pBdr>
        <w:jc w:val="both"/>
        <w:rPr>
          <w:rFonts w:ascii="Roboto" w:cs="Roboto" w:eastAsia="Roboto" w:hAnsi="Roboto"/>
          <w:color w:val="e8354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bottom w:color="000000" w:space="1" w:sz="12" w:val="single"/>
        </w:pBdr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0000ff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0000ff"/>
          <w:sz w:val="22"/>
          <w:szCs w:val="22"/>
        </w:rPr>
        <w:drawing>
          <wp:inline distB="0" distT="0" distL="0" distR="0">
            <wp:extent cx="304800" cy="304800"/>
            <wp:effectExtent b="0" l="0" r="0" t="0"/>
            <wp:docPr id="2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boto" w:cs="Roboto" w:eastAsia="Roboto" w:hAnsi="Roboto"/>
          <w:color w:val="0000ff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Roboto" w:cs="Roboto" w:eastAsia="Roboto" w:hAnsi="Roboto"/>
          <w:color w:val="0000ff"/>
          <w:sz w:val="22"/>
          <w:szCs w:val="22"/>
        </w:rPr>
        <w:drawing>
          <wp:inline distB="0" distT="0" distL="0" distR="0">
            <wp:extent cx="304800" cy="304800"/>
            <wp:effectExtent b="0" l="0" r="0" t="0"/>
            <wp:docPr id="2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bottom w:color="000000" w:space="1" w:sz="12" w:val="single"/>
        </w:pBdr>
        <w:jc w:val="both"/>
        <w:rPr>
          <w:rFonts w:ascii="Roboto" w:cs="Roboto" w:eastAsia="Roboto" w:hAnsi="Roboto"/>
          <w:color w:val="e8354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Roboto" w:cs="Roboto" w:eastAsia="Roboto" w:hAnsi="Roboto"/>
          <w:color w:val="e8354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Para más información sobre la nota de prensa, resolver dudas o gestionar entrevistas</w:t>
      </w:r>
    </w:p>
    <w:p w:rsidR="00000000" w:rsidDel="00000000" w:rsidP="00000000" w:rsidRDefault="00000000" w:rsidRPr="00000000" w14:paraId="00000027">
      <w:pPr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Eva Martín</w:t>
      </w:r>
    </w:p>
    <w:p w:rsidR="00000000" w:rsidDel="00000000" w:rsidP="00000000" w:rsidRDefault="00000000" w:rsidRPr="00000000" w14:paraId="00000028">
      <w:pPr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Tfno. 628 17 49 01 / </w:t>
      </w:r>
      <w:r w:rsidDel="00000000" w:rsidR="00000000" w:rsidRPr="00000000">
        <w:rPr>
          <w:rFonts w:ascii="Roboto" w:cs="Roboto" w:eastAsia="Roboto" w:hAnsi="Roboto"/>
          <w:color w:val="e83544"/>
          <w:sz w:val="22"/>
          <w:szCs w:val="22"/>
          <w:rtl w:val="0"/>
        </w:rPr>
        <w:t xml:space="preserve"> </w:t>
      </w:r>
      <w:hyperlink r:id="rId17">
        <w:r w:rsidDel="00000000" w:rsidR="00000000" w:rsidRPr="00000000">
          <w:rPr>
            <w:rFonts w:ascii="Roboto" w:cs="Roboto" w:eastAsia="Roboto" w:hAnsi="Roboto"/>
            <w:color w:val="e83544"/>
            <w:sz w:val="22"/>
            <w:szCs w:val="22"/>
            <w:u w:val="single"/>
            <w:rtl w:val="0"/>
          </w:rPr>
          <w:t xml:space="preserve">evamc@varenga.es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lineRule="auto"/>
        <w:jc w:val="both"/>
        <w:rPr>
          <w:rFonts w:ascii="Roboto" w:cs="Roboto" w:eastAsia="Roboto" w:hAnsi="Roboto"/>
          <w:color w:val="333333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8" w:type="default"/>
      <w:headerReference r:id="rId19" w:type="first"/>
      <w:headerReference r:id="rId20" w:type="even"/>
      <w:footerReference r:id="rId21" w:type="default"/>
      <w:footerReference r:id="rId22" w:type="first"/>
      <w:footerReference r:id="rId23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ind w:left="-120" w:firstLine="0"/>
      <w:jc w:val="both"/>
      <w:rPr>
        <w:rFonts w:ascii="Calibri" w:cs="Calibri" w:eastAsia="Calibri" w:hAnsi="Calibri"/>
        <w:b w:val="1"/>
        <w:sz w:val="40"/>
        <w:szCs w:val="4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4114800</wp:posOffset>
          </wp:positionH>
          <wp:positionV relativeFrom="paragraph">
            <wp:posOffset>-304788</wp:posOffset>
          </wp:positionV>
          <wp:extent cx="1547842" cy="997267"/>
          <wp:effectExtent b="0" l="0" r="0" t="0"/>
          <wp:wrapSquare wrapText="bothSides" distB="114300" distT="114300" distL="114300" distR="114300"/>
          <wp:docPr id="2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47842" cy="99726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ind w:left="-120" w:firstLine="0"/>
      <w:jc w:val="both"/>
      <w:rPr>
        <w:rFonts w:ascii="Roboto" w:cs="Roboto" w:eastAsia="Roboto" w:hAnsi="Roboto"/>
        <w:sz w:val="22"/>
        <w:szCs w:val="22"/>
      </w:rPr>
    </w:pPr>
    <w:r w:rsidDel="00000000" w:rsidR="00000000" w:rsidRPr="00000000">
      <w:rPr>
        <w:rFonts w:ascii="Roboto" w:cs="Roboto" w:eastAsia="Roboto" w:hAnsi="Roboto"/>
        <w:b w:val="1"/>
        <w:sz w:val="40"/>
        <w:szCs w:val="40"/>
        <w:rtl w:val="0"/>
      </w:rPr>
      <w:t xml:space="preserve">NOTA DE PRENSA</w:t>
    </w:r>
    <w:r w:rsidDel="00000000" w:rsidR="00000000" w:rsidRPr="00000000">
      <w:rPr>
        <w:rFonts w:ascii="Roboto" w:cs="Roboto" w:eastAsia="Roboto" w:hAnsi="Roboto"/>
        <w:sz w:val="22"/>
        <w:szCs w:val="22"/>
        <w:rtl w:val="0"/>
      </w:rPr>
      <w:t xml:space="preserve"> </w:t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3" w:customStyle="1">
    <w:name w:val="Table Normal3"/>
    <w:rsid w:val="009755B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2" w:customStyle="1">
    <w:name w:val="Table Normal2"/>
    <w:rsid w:val="00A46C3D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NormalTable0" w:customStyle="1">
    <w:name w:val="Normal Table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evision">
    <w:name w:val="Revision"/>
    <w:hidden w:val="1"/>
    <w:uiPriority w:val="99"/>
    <w:semiHidden w:val="1"/>
    <w:rsid w:val="007858B3"/>
  </w:style>
  <w:style w:type="character" w:styleId="Hyperlink">
    <w:name w:val="Hyperlink"/>
    <w:basedOn w:val="DefaultParagraphFont"/>
    <w:uiPriority w:val="99"/>
    <w:unhideWhenUsed w:val="1"/>
    <w:rsid w:val="00615075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C215DA"/>
    <w:pPr>
      <w:tabs>
        <w:tab w:val="center" w:pos="4252"/>
        <w:tab w:val="right" w:pos="8504"/>
      </w:tabs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C215DA"/>
  </w:style>
  <w:style w:type="paragraph" w:styleId="Footer">
    <w:name w:val="footer"/>
    <w:basedOn w:val="Normal"/>
    <w:link w:val="FooterChar"/>
    <w:uiPriority w:val="99"/>
    <w:semiHidden w:val="1"/>
    <w:unhideWhenUsed w:val="1"/>
    <w:rsid w:val="00C215DA"/>
    <w:pPr>
      <w:tabs>
        <w:tab w:val="center" w:pos="4252"/>
        <w:tab w:val="right" w:pos="8504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C215DA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61507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 w:val="1"/>
    <w:rsid w:val="001466CE"/>
    <w:rPr>
      <w:b w:val="1"/>
      <w:bCs w:val="1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3A12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3A12A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A12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3A12A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3A12A1"/>
    <w:rPr>
      <w:b w:val="1"/>
      <w:bCs w:val="1"/>
      <w:sz w:val="20"/>
      <w:szCs w:val="20"/>
    </w:rPr>
  </w:style>
  <w:style w:type="table" w:styleId="TableNormal1" w:customStyle="1">
    <w:name w:val="Table Normal1"/>
    <w:rsid w:val="00FB6A1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ehiclesermi.eu/" TargetMode="External"/><Relationship Id="rId18" Type="http://schemas.openxmlformats.org/officeDocument/2006/relationships/header" Target="header2.xml"/><Relationship Id="rId8" Type="http://schemas.openxmlformats.org/officeDocument/2006/relationships/hyperlink" Target="https://www.enac.es/" TargetMode="External"/><Relationship Id="rId26" Type="http://schemas.openxmlformats.org/officeDocument/2006/relationships/customXml" Target="../customXML/item4.xml"/><Relationship Id="rId21" Type="http://schemas.openxmlformats.org/officeDocument/2006/relationships/footer" Target="footer1.xml"/><Relationship Id="rId3" Type="http://schemas.openxmlformats.org/officeDocument/2006/relationships/fontTable" Target="fontTable.xml"/><Relationship Id="rId12" Type="http://schemas.openxmlformats.org/officeDocument/2006/relationships/hyperlink" Target="http://www.vehiclesermi.eu/" TargetMode="External"/><Relationship Id="rId17" Type="http://schemas.openxmlformats.org/officeDocument/2006/relationships/hyperlink" Target="mailto:evamc@varenga.es" TargetMode="External"/><Relationship Id="rId7" Type="http://schemas.openxmlformats.org/officeDocument/2006/relationships/hyperlink" Target="https://european-accreditation.org/" TargetMode="External"/><Relationship Id="rId25" Type="http://schemas.openxmlformats.org/officeDocument/2006/relationships/customXml" Target="../customXML/item3.xml"/><Relationship Id="rId20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11" Type="http://schemas.openxmlformats.org/officeDocument/2006/relationships/hyperlink" Target="http://www.vehiclesermi.eu/" TargetMode="Externa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24" Type="http://schemas.openxmlformats.org/officeDocument/2006/relationships/customXml" Target="../customXML/item2.xml"/><Relationship Id="rId23" Type="http://schemas.openxmlformats.org/officeDocument/2006/relationships/footer" Target="footer2.xml"/><Relationship Id="rId15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http://www.enac.es" TargetMode="External"/><Relationship Id="rId19" Type="http://schemas.openxmlformats.org/officeDocument/2006/relationships/header" Target="header1.xml"/><Relationship Id="rId22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hyperlink" Target="http://www.enac.es/" TargetMode="External"/><Relationship Id="rId14" Type="http://schemas.openxmlformats.org/officeDocument/2006/relationships/hyperlink" Target="http://www.enac.e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ZDeH58oIgvuh2lL3/Sg5y5eqPg==">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14" ma:contentTypeDescription="Crear nuevo documento." ma:contentTypeScope="" ma:versionID="8c82859fd4e960b8ffaef0e39e16015c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049ab530a684e88a73025cf0b0ecb7f7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5c5079e-b5d9-4f40-8558-acc8d9d79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6efcf77-0706-4f8e-b256-a6b4bd8b1840}" ma:internalName="TaxCatchAll" ma:showField="CatchAllData" ma:web="909e21e3-a2e2-47ca-be0e-9c3a9bef9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290ce1-b2e7-4ccb-948d-a290ef611fa1">
      <Terms xmlns="http://schemas.microsoft.com/office/infopath/2007/PartnerControls"/>
    </lcf76f155ced4ddcb4097134ff3c332f>
    <TaxCatchAll xmlns="909e21e3-a2e2-47ca-be0e-9c3a9bef9292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B06C094-FED9-4B59-B176-8D25D8DD8439}"/>
</file>

<file path=customXML/itemProps3.xml><?xml version="1.0" encoding="utf-8"?>
<ds:datastoreItem xmlns:ds="http://schemas.openxmlformats.org/officeDocument/2006/customXml" ds:itemID="{025D5208-0B4B-4D5E-BCA1-2A40802247C5}"/>
</file>

<file path=customXML/itemProps4.xml><?xml version="1.0" encoding="utf-8"?>
<ds:datastoreItem xmlns:ds="http://schemas.openxmlformats.org/officeDocument/2006/customXml" ds:itemID="{66B9CB30-FAC9-470C-9746-2543D2E56D88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Gonzalez Fernandez</dc:creator>
  <dcterms:created xsi:type="dcterms:W3CDTF">2023-05-04T08:41:00Z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  <property fmtid="{D5CDD505-2E9C-101B-9397-08002B2CF9AE}" pid="3" name="MediaServiceImageTags">
    <vt:lpwstr/>
  </property>
</Properties>
</file>