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745FC" w14:textId="77777777" w:rsidR="00673FAE" w:rsidRDefault="00673FAE">
      <w:pPr>
        <w:spacing w:after="160" w:line="259" w:lineRule="auto"/>
        <w:rPr>
          <w:rFonts w:ascii="Calibri" w:eastAsia="Calibri" w:hAnsi="Calibri" w:cs="Calibri"/>
          <w:b/>
          <w:sz w:val="28"/>
          <w:szCs w:val="28"/>
        </w:rPr>
      </w:pPr>
    </w:p>
    <w:p w14:paraId="611745FD" w14:textId="77777777" w:rsidR="00673FAE" w:rsidRDefault="003517F8">
      <w:pPr>
        <w:jc w:val="center"/>
        <w:rPr>
          <w:rFonts w:ascii="Roboto" w:eastAsia="Roboto" w:hAnsi="Roboto" w:cs="Roboto"/>
          <w:b/>
          <w:sz w:val="28"/>
          <w:szCs w:val="28"/>
        </w:rPr>
      </w:pPr>
      <w:r>
        <w:rPr>
          <w:rFonts w:ascii="Roboto" w:eastAsia="Roboto" w:hAnsi="Roboto" w:cs="Roboto"/>
          <w:b/>
          <w:sz w:val="28"/>
          <w:szCs w:val="28"/>
        </w:rPr>
        <w:t>La CE aprueba los requisitos para las certificadoras que quieran operar bajo el esquema europeo de ciberseguridad EUCC</w:t>
      </w:r>
    </w:p>
    <w:p w14:paraId="611745FE" w14:textId="77777777" w:rsidR="00673FAE" w:rsidRDefault="00673FAE">
      <w:pPr>
        <w:jc w:val="both"/>
        <w:rPr>
          <w:rFonts w:ascii="Roboto" w:eastAsia="Roboto" w:hAnsi="Roboto" w:cs="Roboto"/>
          <w:b/>
          <w:sz w:val="22"/>
          <w:szCs w:val="22"/>
        </w:rPr>
      </w:pPr>
    </w:p>
    <w:p w14:paraId="611745FF" w14:textId="77777777" w:rsidR="00673FAE" w:rsidRDefault="003517F8">
      <w:pPr>
        <w:numPr>
          <w:ilvl w:val="0"/>
          <w:numId w:val="1"/>
        </w:numPr>
        <w:spacing w:after="160" w:line="278" w:lineRule="auto"/>
        <w:ind w:left="720"/>
        <w:jc w:val="both"/>
        <w:rPr>
          <w:rFonts w:ascii="Roboto" w:eastAsia="Roboto" w:hAnsi="Roboto" w:cs="Roboto"/>
          <w:b/>
          <w:sz w:val="20"/>
          <w:szCs w:val="20"/>
        </w:rPr>
      </w:pPr>
      <w:r>
        <w:rPr>
          <w:rFonts w:ascii="Roboto" w:eastAsia="Roboto" w:hAnsi="Roboto" w:cs="Roboto"/>
          <w:b/>
          <w:sz w:val="20"/>
          <w:szCs w:val="20"/>
        </w:rPr>
        <w:t>ENAC comienza a evaluar a las primeras entidades de certificación interesadas en la actividad</w:t>
      </w:r>
    </w:p>
    <w:p w14:paraId="61174600" w14:textId="77777777" w:rsidR="00673FAE" w:rsidRDefault="003517F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ind w:left="720"/>
        <w:jc w:val="both"/>
        <w:rPr>
          <w:rFonts w:ascii="Roboto" w:eastAsia="Roboto" w:hAnsi="Roboto" w:cs="Roboto"/>
          <w:color w:val="FF0000"/>
          <w:sz w:val="22"/>
          <w:szCs w:val="22"/>
        </w:rPr>
      </w:pPr>
      <w:r w:rsidRPr="2131F14C">
        <w:rPr>
          <w:rFonts w:ascii="Roboto" w:eastAsia="Roboto" w:hAnsi="Roboto" w:cs="Roboto"/>
          <w:color w:val="FF0000"/>
          <w:sz w:val="22"/>
          <w:szCs w:val="22"/>
        </w:rPr>
        <w:t xml:space="preserve">  </w:t>
      </w:r>
    </w:p>
    <w:p w14:paraId="61174601" w14:textId="37BE699F" w:rsidR="00673FAE" w:rsidRDefault="5C861044" w:rsidP="2131F14C">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line="259" w:lineRule="auto"/>
        <w:jc w:val="both"/>
        <w:rPr>
          <w:rFonts w:ascii="Roboto" w:eastAsia="Roboto" w:hAnsi="Roboto" w:cs="Roboto"/>
          <w:sz w:val="22"/>
          <w:szCs w:val="22"/>
        </w:rPr>
      </w:pPr>
      <w:r w:rsidRPr="2131F14C">
        <w:rPr>
          <w:rFonts w:ascii="Roboto" w:eastAsia="Roboto" w:hAnsi="Roboto" w:cs="Roboto"/>
          <w:color w:val="000000" w:themeColor="text1"/>
          <w:sz w:val="22"/>
          <w:szCs w:val="22"/>
        </w:rPr>
        <w:t>Madrid, 13 de enero de 2025.- La</w:t>
      </w:r>
      <w:hyperlink r:id="rId11">
        <w:r w:rsidRPr="2131F14C">
          <w:rPr>
            <w:rStyle w:val="Hipervnculo"/>
            <w:rFonts w:ascii="Roboto" w:eastAsia="Roboto" w:hAnsi="Roboto" w:cs="Roboto"/>
            <w:color w:val="1155CC"/>
            <w:sz w:val="22"/>
            <w:szCs w:val="22"/>
            <w:u w:val="none"/>
          </w:rPr>
          <w:t xml:space="preserve"> Entidad Nacional de Acreditación</w:t>
        </w:r>
      </w:hyperlink>
      <w:r w:rsidRPr="2131F14C">
        <w:rPr>
          <w:rFonts w:ascii="Roboto" w:eastAsia="Roboto" w:hAnsi="Roboto" w:cs="Roboto"/>
          <w:color w:val="000000" w:themeColor="text1"/>
          <w:sz w:val="22"/>
          <w:szCs w:val="22"/>
        </w:rPr>
        <w:t xml:space="preserve"> (ENAC) ha comenzado a </w:t>
      </w:r>
      <w:r w:rsidRPr="2131F14C">
        <w:rPr>
          <w:rFonts w:ascii="Roboto" w:eastAsia="Roboto" w:hAnsi="Roboto" w:cs="Roboto"/>
          <w:b/>
          <w:bCs/>
          <w:color w:val="000000" w:themeColor="text1"/>
          <w:sz w:val="22"/>
          <w:szCs w:val="22"/>
        </w:rPr>
        <w:t>realizar las primeras evaluaciones a las entidades de certificación que quieran operar bajo el esquema europeo de ciberseguridad EUCC,</w:t>
      </w:r>
      <w:r w:rsidRPr="2131F14C">
        <w:rPr>
          <w:rFonts w:ascii="Roboto" w:eastAsia="Roboto" w:hAnsi="Roboto" w:cs="Roboto"/>
          <w:color w:val="000000" w:themeColor="text1"/>
          <w:sz w:val="22"/>
          <w:szCs w:val="22"/>
        </w:rPr>
        <w:t xml:space="preserve"> tras la reciente publicación del </w:t>
      </w:r>
      <w:hyperlink r:id="rId12">
        <w:r w:rsidRPr="2131F14C">
          <w:rPr>
            <w:rStyle w:val="Hipervnculo"/>
            <w:rFonts w:ascii="Roboto" w:eastAsia="Roboto" w:hAnsi="Roboto" w:cs="Roboto"/>
            <w:color w:val="1155CC"/>
            <w:sz w:val="22"/>
            <w:szCs w:val="22"/>
            <w:u w:val="none"/>
          </w:rPr>
          <w:t>Reglamento de Ejecución (UE) 2024/3144</w:t>
        </w:r>
      </w:hyperlink>
      <w:r w:rsidRPr="2131F14C">
        <w:rPr>
          <w:rFonts w:ascii="Roboto" w:eastAsia="Roboto" w:hAnsi="Roboto" w:cs="Roboto"/>
          <w:color w:val="000000" w:themeColor="text1"/>
          <w:sz w:val="22"/>
          <w:szCs w:val="22"/>
        </w:rPr>
        <w:t xml:space="preserve"> en el que se establecen los requisitos específicos para las entidades de certificación en el marco del esquema europeo de certificación basado en </w:t>
      </w:r>
      <w:proofErr w:type="spellStart"/>
      <w:r w:rsidRPr="2131F14C">
        <w:rPr>
          <w:rFonts w:ascii="Roboto" w:eastAsia="Roboto" w:hAnsi="Roboto" w:cs="Roboto"/>
          <w:color w:val="000000" w:themeColor="text1"/>
          <w:sz w:val="22"/>
          <w:szCs w:val="22"/>
        </w:rPr>
        <w:t>Common</w:t>
      </w:r>
      <w:proofErr w:type="spellEnd"/>
      <w:r w:rsidRPr="2131F14C">
        <w:rPr>
          <w:rFonts w:ascii="Roboto" w:eastAsia="Roboto" w:hAnsi="Roboto" w:cs="Roboto"/>
          <w:color w:val="000000" w:themeColor="text1"/>
          <w:sz w:val="22"/>
          <w:szCs w:val="22"/>
        </w:rPr>
        <w:t xml:space="preserve"> </w:t>
      </w:r>
      <w:proofErr w:type="spellStart"/>
      <w:r w:rsidRPr="2131F14C">
        <w:rPr>
          <w:rFonts w:ascii="Roboto" w:eastAsia="Roboto" w:hAnsi="Roboto" w:cs="Roboto"/>
          <w:color w:val="000000" w:themeColor="text1"/>
          <w:sz w:val="22"/>
          <w:szCs w:val="22"/>
        </w:rPr>
        <w:t>Criteria</w:t>
      </w:r>
      <w:proofErr w:type="spellEnd"/>
      <w:r w:rsidRPr="2131F14C">
        <w:rPr>
          <w:rFonts w:ascii="Roboto" w:eastAsia="Roboto" w:hAnsi="Roboto" w:cs="Roboto"/>
          <w:color w:val="000000" w:themeColor="text1"/>
          <w:sz w:val="22"/>
          <w:szCs w:val="22"/>
        </w:rPr>
        <w:t xml:space="preserve"> (EUCC).</w:t>
      </w:r>
      <w:r w:rsidR="003517F8" w:rsidRPr="2131F14C">
        <w:rPr>
          <w:rFonts w:ascii="Roboto" w:eastAsia="Roboto" w:hAnsi="Roboto" w:cs="Roboto"/>
          <w:sz w:val="22"/>
          <w:szCs w:val="22"/>
        </w:rPr>
        <w:t xml:space="preserve"> </w:t>
      </w:r>
    </w:p>
    <w:p w14:paraId="61174602" w14:textId="77777777" w:rsidR="00673FAE" w:rsidRDefault="00673FA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61174603" w14:textId="77777777" w:rsidR="00673FAE" w:rsidRDefault="003517F8">
      <w:pPr>
        <w:jc w:val="both"/>
        <w:rPr>
          <w:rFonts w:ascii="Roboto" w:eastAsia="Roboto" w:hAnsi="Roboto" w:cs="Roboto"/>
          <w:sz w:val="22"/>
          <w:szCs w:val="22"/>
        </w:rPr>
      </w:pPr>
      <w:r>
        <w:rPr>
          <w:rFonts w:ascii="Roboto" w:eastAsia="Roboto" w:hAnsi="Roboto" w:cs="Roboto"/>
          <w:sz w:val="22"/>
          <w:szCs w:val="22"/>
        </w:rPr>
        <w:t>Este esquema, desarrollado en el marco del reglamento conocido como “</w:t>
      </w:r>
      <w:proofErr w:type="spellStart"/>
      <w:r>
        <w:rPr>
          <w:rFonts w:ascii="Roboto" w:eastAsia="Roboto" w:hAnsi="Roboto" w:cs="Roboto"/>
          <w:sz w:val="22"/>
          <w:szCs w:val="22"/>
        </w:rPr>
        <w:t>Cybersecurity</w:t>
      </w:r>
      <w:proofErr w:type="spellEnd"/>
      <w:r>
        <w:rPr>
          <w:rFonts w:ascii="Roboto" w:eastAsia="Roboto" w:hAnsi="Roboto" w:cs="Roboto"/>
          <w:sz w:val="22"/>
          <w:szCs w:val="22"/>
        </w:rPr>
        <w:t xml:space="preserve"> </w:t>
      </w:r>
      <w:proofErr w:type="spellStart"/>
      <w:r>
        <w:rPr>
          <w:rFonts w:ascii="Roboto" w:eastAsia="Roboto" w:hAnsi="Roboto" w:cs="Roboto"/>
          <w:sz w:val="22"/>
          <w:szCs w:val="22"/>
        </w:rPr>
        <w:t>Act</w:t>
      </w:r>
      <w:proofErr w:type="spellEnd"/>
      <w:r>
        <w:rPr>
          <w:rFonts w:ascii="Roboto" w:eastAsia="Roboto" w:hAnsi="Roboto" w:cs="Roboto"/>
          <w:sz w:val="22"/>
          <w:szCs w:val="22"/>
        </w:rPr>
        <w:t xml:space="preserve">”, tiene como objetivo elevar el nivel de ciberseguridad de los productos, servicios y procesos de TIC en el mercado comunitario. En concreto, permite a los proveedores del sector que deseen demostrar la seguridad de sus productos TIC, tales como componentes tecnológicos (chips, tarjetas inteligentes), hardware y software, </w:t>
      </w:r>
      <w:r>
        <w:rPr>
          <w:rFonts w:ascii="Roboto" w:eastAsia="Roboto" w:hAnsi="Roboto" w:cs="Roboto"/>
          <w:b/>
          <w:sz w:val="22"/>
          <w:szCs w:val="22"/>
        </w:rPr>
        <w:t>someterse a un proceso de evaluación común de la UE para certificar estos productos</w:t>
      </w:r>
      <w:r>
        <w:rPr>
          <w:rFonts w:ascii="Roboto" w:eastAsia="Roboto" w:hAnsi="Roboto" w:cs="Roboto"/>
          <w:sz w:val="22"/>
          <w:szCs w:val="22"/>
        </w:rPr>
        <w:t>.</w:t>
      </w:r>
    </w:p>
    <w:p w14:paraId="61174604" w14:textId="77777777" w:rsidR="00673FAE" w:rsidRDefault="00673FAE">
      <w:pPr>
        <w:jc w:val="both"/>
        <w:rPr>
          <w:rFonts w:ascii="Roboto" w:eastAsia="Roboto" w:hAnsi="Roboto" w:cs="Roboto"/>
          <w:sz w:val="22"/>
          <w:szCs w:val="22"/>
        </w:rPr>
      </w:pPr>
    </w:p>
    <w:p w14:paraId="61174606" w14:textId="71B43FA4" w:rsidR="00673FAE" w:rsidRDefault="003517F8">
      <w:pPr>
        <w:jc w:val="both"/>
        <w:rPr>
          <w:rFonts w:ascii="Roboto" w:eastAsia="Roboto" w:hAnsi="Roboto" w:cs="Roboto"/>
          <w:sz w:val="22"/>
          <w:szCs w:val="22"/>
        </w:rPr>
      </w:pPr>
      <w:r w:rsidRPr="2131F14C">
        <w:rPr>
          <w:rFonts w:ascii="Roboto" w:eastAsia="Roboto" w:hAnsi="Roboto" w:cs="Roboto"/>
          <w:sz w:val="22"/>
          <w:szCs w:val="22"/>
        </w:rPr>
        <w:t>Con objeto de facilitar que la industria española pueda iniciar cuanto antes los procesos de evaluación de sus productos frente al nuevo esquema, ENAC ha desarrollado el correspondiente esquema de acreditación y está en disposición de evaluar a las entidades</w:t>
      </w:r>
      <w:r w:rsidRPr="2131F14C">
        <w:rPr>
          <w:rFonts w:ascii="Roboto" w:eastAsia="Roboto" w:hAnsi="Roboto" w:cs="Roboto"/>
          <w:b/>
          <w:bCs/>
          <w:sz w:val="22"/>
          <w:szCs w:val="22"/>
        </w:rPr>
        <w:t xml:space="preserve"> </w:t>
      </w:r>
      <w:r w:rsidRPr="2131F14C">
        <w:rPr>
          <w:rFonts w:ascii="Roboto" w:eastAsia="Roboto" w:hAnsi="Roboto" w:cs="Roboto"/>
          <w:sz w:val="22"/>
          <w:szCs w:val="22"/>
        </w:rPr>
        <w:t>de certificación que quieran operar bajo el EUCC, por lo que ha comenzado a realizar las primeras evaluaciones a las entidades solicitantes.</w:t>
      </w:r>
    </w:p>
    <w:p w14:paraId="0E4D806D" w14:textId="50CFE3D8" w:rsidR="2131F14C" w:rsidRDefault="2131F14C" w:rsidP="2131F14C">
      <w:pPr>
        <w:jc w:val="both"/>
        <w:rPr>
          <w:rFonts w:ascii="Roboto" w:eastAsia="Roboto" w:hAnsi="Roboto" w:cs="Roboto"/>
          <w:sz w:val="22"/>
          <w:szCs w:val="22"/>
        </w:rPr>
      </w:pPr>
    </w:p>
    <w:p w14:paraId="48B8AF5E" w14:textId="750077CA" w:rsidR="2D921CBB" w:rsidRDefault="2D921CBB" w:rsidP="2131F14C">
      <w:pPr>
        <w:jc w:val="both"/>
        <w:rPr>
          <w:rFonts w:ascii="Roboto" w:eastAsia="Roboto" w:hAnsi="Roboto" w:cs="Roboto"/>
          <w:color w:val="E83544"/>
          <w:sz w:val="22"/>
          <w:szCs w:val="22"/>
        </w:rPr>
      </w:pPr>
      <w:r w:rsidRPr="2131F14C">
        <w:rPr>
          <w:rFonts w:ascii="Roboto" w:eastAsia="Roboto" w:hAnsi="Roboto" w:cs="Roboto"/>
          <w:b/>
          <w:bCs/>
          <w:color w:val="E83544"/>
          <w:sz w:val="22"/>
          <w:szCs w:val="22"/>
        </w:rPr>
        <w:t>Sobre ENAC</w:t>
      </w:r>
    </w:p>
    <w:p w14:paraId="5654A7D7" w14:textId="55D1D6E4" w:rsidR="2131F14C" w:rsidRDefault="2131F14C" w:rsidP="2131F14C">
      <w:pPr>
        <w:jc w:val="both"/>
        <w:rPr>
          <w:rFonts w:ascii="Roboto" w:eastAsia="Roboto" w:hAnsi="Roboto" w:cs="Roboto"/>
          <w:b/>
          <w:bCs/>
          <w:color w:val="E83544"/>
          <w:sz w:val="22"/>
          <w:szCs w:val="22"/>
        </w:rPr>
      </w:pPr>
    </w:p>
    <w:p w14:paraId="6117460A" w14:textId="77777777" w:rsidR="00673FAE" w:rsidRDefault="003517F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6117460B" w14:textId="77777777" w:rsidR="00673FAE" w:rsidRDefault="00673FA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6117460C" w14:textId="77777777" w:rsidR="00673FAE" w:rsidRDefault="003517F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6117460D" w14:textId="77777777" w:rsidR="00673FAE" w:rsidRDefault="00673FAE">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50ACCF0A" w14:textId="77777777" w:rsidR="0078233D" w:rsidRDefault="0078233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6F76FF55" w14:textId="77777777" w:rsidR="0078233D" w:rsidRDefault="0078233D">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6117460E" w14:textId="108F95EB" w:rsidR="00673FAE" w:rsidRDefault="003517F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6117460F" w14:textId="77777777" w:rsidR="00673FAE" w:rsidRDefault="00673FAE">
      <w:pPr>
        <w:jc w:val="both"/>
        <w:rPr>
          <w:rFonts w:ascii="Roboto" w:eastAsia="Roboto" w:hAnsi="Roboto" w:cs="Roboto"/>
          <w:sz w:val="22"/>
          <w:szCs w:val="22"/>
        </w:rPr>
      </w:pPr>
    </w:p>
    <w:p w14:paraId="61174610" w14:textId="77777777" w:rsidR="00673FAE" w:rsidRDefault="003517F8">
      <w:pPr>
        <w:pBdr>
          <w:bottom w:val="single" w:sz="12" w:space="1" w:color="000000"/>
        </w:pBdr>
        <w:jc w:val="both"/>
        <w:rPr>
          <w:rFonts w:ascii="Roboto" w:eastAsia="Roboto" w:hAnsi="Roboto" w:cs="Roboto"/>
          <w:color w:val="E83544"/>
          <w:sz w:val="22"/>
          <w:szCs w:val="22"/>
        </w:rPr>
      </w:pPr>
      <w:hyperlink r:id="rId13">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61174611" w14:textId="77777777" w:rsidR="00673FAE" w:rsidRDefault="00673FAE">
      <w:pPr>
        <w:pBdr>
          <w:bottom w:val="single" w:sz="12" w:space="1" w:color="000000"/>
        </w:pBdr>
        <w:jc w:val="both"/>
        <w:rPr>
          <w:rFonts w:ascii="Roboto" w:eastAsia="Roboto" w:hAnsi="Roboto" w:cs="Roboto"/>
          <w:color w:val="E83544"/>
          <w:sz w:val="22"/>
          <w:szCs w:val="22"/>
        </w:rPr>
      </w:pPr>
    </w:p>
    <w:p w14:paraId="61174612" w14:textId="77777777" w:rsidR="00673FAE" w:rsidRDefault="003517F8">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6117461C" wp14:editId="6117461D">
            <wp:extent cx="297039" cy="29703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7039" cy="297039"/>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6117461E" wp14:editId="6117461F">
            <wp:extent cx="304800" cy="3048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04800" cy="304800"/>
                    </a:xfrm>
                    <a:prstGeom prst="rect">
                      <a:avLst/>
                    </a:prstGeom>
                    <a:ln/>
                  </pic:spPr>
                </pic:pic>
              </a:graphicData>
            </a:graphic>
          </wp:inline>
        </w:drawing>
      </w:r>
    </w:p>
    <w:p w14:paraId="61174613" w14:textId="77777777" w:rsidR="00673FAE" w:rsidRDefault="00673FAE">
      <w:pPr>
        <w:pBdr>
          <w:bottom w:val="single" w:sz="12" w:space="1" w:color="000000"/>
        </w:pBdr>
        <w:jc w:val="both"/>
        <w:rPr>
          <w:rFonts w:ascii="Roboto" w:eastAsia="Roboto" w:hAnsi="Roboto" w:cs="Roboto"/>
          <w:color w:val="E83544"/>
          <w:sz w:val="22"/>
          <w:szCs w:val="22"/>
        </w:rPr>
      </w:pPr>
    </w:p>
    <w:p w14:paraId="61174614" w14:textId="77777777" w:rsidR="00673FAE" w:rsidRDefault="00673FAE">
      <w:pPr>
        <w:jc w:val="both"/>
        <w:rPr>
          <w:rFonts w:ascii="Roboto" w:eastAsia="Roboto" w:hAnsi="Roboto" w:cs="Roboto"/>
          <w:color w:val="E83544"/>
          <w:sz w:val="22"/>
          <w:szCs w:val="22"/>
        </w:rPr>
      </w:pPr>
    </w:p>
    <w:p w14:paraId="61174615" w14:textId="77777777" w:rsidR="00673FAE" w:rsidRDefault="003517F8">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61174616" w14:textId="77777777" w:rsidR="00673FAE" w:rsidRDefault="003517F8">
      <w:pPr>
        <w:jc w:val="both"/>
        <w:rPr>
          <w:rFonts w:ascii="Roboto" w:eastAsia="Roboto" w:hAnsi="Roboto" w:cs="Roboto"/>
          <w:sz w:val="22"/>
          <w:szCs w:val="22"/>
        </w:rPr>
      </w:pPr>
      <w:r>
        <w:rPr>
          <w:rFonts w:ascii="Roboto" w:eastAsia="Roboto" w:hAnsi="Roboto" w:cs="Roboto"/>
          <w:sz w:val="22"/>
          <w:szCs w:val="22"/>
        </w:rPr>
        <w:t>Eva Martín</w:t>
      </w:r>
    </w:p>
    <w:p w14:paraId="61174617" w14:textId="77777777" w:rsidR="00673FAE" w:rsidRDefault="003517F8">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6">
        <w:r>
          <w:rPr>
            <w:rFonts w:ascii="Roboto" w:eastAsia="Roboto" w:hAnsi="Roboto" w:cs="Roboto"/>
            <w:color w:val="E83544"/>
            <w:sz w:val="22"/>
            <w:szCs w:val="22"/>
            <w:u w:val="single"/>
          </w:rPr>
          <w:t>evamc@varenga.es</w:t>
        </w:r>
      </w:hyperlink>
    </w:p>
    <w:p w14:paraId="61174618" w14:textId="77777777" w:rsidR="00673FAE" w:rsidRDefault="00673FAE">
      <w:pPr>
        <w:spacing w:after="160"/>
        <w:jc w:val="both"/>
        <w:rPr>
          <w:rFonts w:ascii="Roboto" w:eastAsia="Roboto" w:hAnsi="Roboto" w:cs="Roboto"/>
          <w:color w:val="333333"/>
          <w:sz w:val="27"/>
          <w:szCs w:val="27"/>
          <w:highlight w:val="white"/>
        </w:rPr>
      </w:pPr>
    </w:p>
    <w:p w14:paraId="61174619" w14:textId="77777777" w:rsidR="00673FAE" w:rsidRDefault="00673FAE"/>
    <w:p w14:paraId="6117461A" w14:textId="77777777" w:rsidR="00673FAE" w:rsidRDefault="00673FAE"/>
    <w:p w14:paraId="6117461B" w14:textId="77777777" w:rsidR="00673FAE" w:rsidRDefault="00673FAE">
      <w:pPr>
        <w:pBdr>
          <w:top w:val="nil"/>
          <w:left w:val="nil"/>
          <w:bottom w:val="nil"/>
          <w:right w:val="nil"/>
          <w:between w:val="nil"/>
        </w:pBdr>
        <w:rPr>
          <w:rFonts w:ascii="Calibri" w:eastAsia="Calibri" w:hAnsi="Calibri" w:cs="Calibri"/>
          <w:highlight w:val="white"/>
        </w:rPr>
      </w:pPr>
    </w:p>
    <w:sectPr w:rsidR="00673FAE">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7462D" w14:textId="77777777" w:rsidR="003517F8" w:rsidRDefault="003517F8">
      <w:r>
        <w:separator/>
      </w:r>
    </w:p>
  </w:endnote>
  <w:endnote w:type="continuationSeparator" w:id="0">
    <w:p w14:paraId="6117462F" w14:textId="77777777" w:rsidR="003517F8" w:rsidRDefault="00351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32921EE-E5A9-4D7A-AD85-A36B7EF3251C}"/>
    <w:embedItalic r:id="rId2" w:fontKey="{9DF38A53-00C4-4DA7-AF32-E041D1CB75BB}"/>
  </w:font>
  <w:font w:name="Calibri">
    <w:panose1 w:val="020F0502020204030204"/>
    <w:charset w:val="00"/>
    <w:family w:val="swiss"/>
    <w:pitch w:val="variable"/>
    <w:sig w:usb0="E4002EFF" w:usb1="C000247B" w:usb2="00000009" w:usb3="00000000" w:csb0="000001FF" w:csb1="00000000"/>
    <w:embedRegular r:id="rId3" w:fontKey="{5E550885-C42F-48E2-8E6A-5C0E974F5AF1}"/>
    <w:embedBold r:id="rId4" w:fontKey="{5A45FEDB-71D4-4FE8-8555-52ADB799C362}"/>
  </w:font>
  <w:font w:name="Roboto">
    <w:charset w:val="00"/>
    <w:family w:val="auto"/>
    <w:pitch w:val="variable"/>
    <w:sig w:usb0="E0000AFF" w:usb1="5000217F" w:usb2="00000021" w:usb3="00000000" w:csb0="0000019F" w:csb1="00000000"/>
    <w:embedRegular r:id="rId5" w:fontKey="{1AA621DF-C1EE-48BE-9287-EF5CE1C9744C}"/>
    <w:embedBold r:id="rId6" w:fontKey="{00B1B68F-DD2B-44B1-96D7-D5D30B0ED478}"/>
  </w:font>
  <w:font w:name="Cambria">
    <w:panose1 w:val="02040503050406030204"/>
    <w:charset w:val="00"/>
    <w:family w:val="roman"/>
    <w:pitch w:val="variable"/>
    <w:sig w:usb0="E00006FF" w:usb1="420024FF" w:usb2="02000000" w:usb3="00000000" w:csb0="0000019F" w:csb1="00000000"/>
    <w:embedRegular r:id="rId7" w:fontKey="{0A3497F6-EB4D-42D5-AA23-B1ECEF985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4" w14:textId="77777777" w:rsidR="00673FAE" w:rsidRDefault="00673FAE">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5" w14:textId="22B545A4" w:rsidR="00673FAE" w:rsidRDefault="003517F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53F99">
      <w:rPr>
        <w:noProof/>
        <w:color w:val="000000"/>
      </w:rPr>
      <w:t>1</w:t>
    </w:r>
    <w:r>
      <w:rPr>
        <w:color w:val="000000"/>
      </w:rPr>
      <w:fldChar w:fldCharType="end"/>
    </w:r>
  </w:p>
  <w:p w14:paraId="61174626" w14:textId="77777777" w:rsidR="00673FAE" w:rsidRDefault="00673FAE">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8" w14:textId="77777777" w:rsidR="00673FAE" w:rsidRDefault="00673FA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74629" w14:textId="77777777" w:rsidR="003517F8" w:rsidRDefault="003517F8">
      <w:r>
        <w:separator/>
      </w:r>
    </w:p>
  </w:footnote>
  <w:footnote w:type="continuationSeparator" w:id="0">
    <w:p w14:paraId="6117462B" w14:textId="77777777" w:rsidR="003517F8" w:rsidRDefault="00351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0" w14:textId="77777777" w:rsidR="00673FAE" w:rsidRDefault="00673FA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1" w14:textId="77777777" w:rsidR="00673FAE" w:rsidRDefault="003517F8">
    <w:pPr>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61174629" wp14:editId="6117462A">
          <wp:simplePos x="0" y="0"/>
          <wp:positionH relativeFrom="column">
            <wp:posOffset>4114800</wp:posOffset>
          </wp:positionH>
          <wp:positionV relativeFrom="paragraph">
            <wp:posOffset>-304782</wp:posOffset>
          </wp:positionV>
          <wp:extent cx="1547842" cy="997267"/>
          <wp:effectExtent l="0" t="0" r="0" b="0"/>
          <wp:wrapSquare wrapText="bothSides" distT="114300" distB="11430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61174622" w14:textId="77777777" w:rsidR="00673FAE" w:rsidRDefault="003517F8">
    <w:pPr>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61174623" w14:textId="77777777" w:rsidR="00673FAE" w:rsidRDefault="00673FAE">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4627" w14:textId="77777777" w:rsidR="00673FAE" w:rsidRDefault="00673FA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E4679C"/>
    <w:multiLevelType w:val="multilevel"/>
    <w:tmpl w:val="46905256"/>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num w:numId="1" w16cid:durableId="37408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AE"/>
    <w:rsid w:val="000835A9"/>
    <w:rsid w:val="003517F8"/>
    <w:rsid w:val="003F21DD"/>
    <w:rsid w:val="004A7F7D"/>
    <w:rsid w:val="00653F99"/>
    <w:rsid w:val="00673FAE"/>
    <w:rsid w:val="0078233D"/>
    <w:rsid w:val="007E38FF"/>
    <w:rsid w:val="00826588"/>
    <w:rsid w:val="00906361"/>
    <w:rsid w:val="00B23AB3"/>
    <w:rsid w:val="20E2F580"/>
    <w:rsid w:val="2131F14C"/>
    <w:rsid w:val="273FC62D"/>
    <w:rsid w:val="2D921CBB"/>
    <w:rsid w:val="36BA24D1"/>
    <w:rsid w:val="564E7027"/>
    <w:rsid w:val="5C8610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45FC"/>
  <w15:docId w15:val="{F357C25A-C934-44B9-B19E-C6A53825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653F99"/>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na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ur-lex.europa.eu/legal-content/ES/TXT/?uri=CELEX:32024R314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vamc@varenga.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bOXyBquLNgDBM48diXp61k1Tg==">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26FC16B-C458-4FD3-9B1E-3E495A503FD9}">
  <ds:schemaRefs>
    <ds:schemaRef ds:uri="http://purl.org/dc/terms/"/>
    <ds:schemaRef ds:uri="http://schemas.openxmlformats.org/package/2006/metadata/core-properties"/>
    <ds:schemaRef ds:uri="http://schemas.microsoft.com/office/2006/documentManagement/types"/>
    <ds:schemaRef ds:uri="6e290ce1-b2e7-4ccb-948d-a290ef611fa1"/>
    <ds:schemaRef ds:uri="http://purl.org/dc/elements/1.1/"/>
    <ds:schemaRef ds:uri="http://schemas.microsoft.com/office/2006/metadata/properties"/>
    <ds:schemaRef ds:uri="http://schemas.microsoft.com/office/infopath/2007/PartnerControls"/>
    <ds:schemaRef ds:uri="909e21e3-a2e2-47ca-be0e-9c3a9bef9292"/>
    <ds:schemaRef ds:uri="http://www.w3.org/XML/1998/namespace"/>
    <ds:schemaRef ds:uri="http://purl.org/dc/dcmitype/"/>
  </ds:schemaRefs>
</ds:datastoreItem>
</file>

<file path=customXml/itemProps3.xml><?xml version="1.0" encoding="utf-8"?>
<ds:datastoreItem xmlns:ds="http://schemas.openxmlformats.org/officeDocument/2006/customXml" ds:itemID="{A36F9337-5A8D-4932-B4EA-FE047073E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5BC63-1FFD-4FFD-BC98-717C4EC04F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2954</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Diaz Pozo</cp:lastModifiedBy>
  <cp:revision>10</cp:revision>
  <dcterms:created xsi:type="dcterms:W3CDTF">2025-01-10T11:07:00Z</dcterms:created>
  <dcterms:modified xsi:type="dcterms:W3CDTF">2025-01-16T10:52:00Z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0x0101009152DE15686E4843A3780C010A78B13A</vt:lpwstr>
  </property>
</Properties>
</file>