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16D7A" w:rsidRDefault="00416D7A">
      <w:pPr>
        <w:pStyle w:val="Normal2"/>
        <w:jc w:val="center"/>
        <w:rPr>
          <w:rFonts w:ascii="Roboto" w:eastAsia="Roboto" w:hAnsi="Roboto" w:cs="Roboto"/>
          <w:b/>
          <w:sz w:val="34"/>
          <w:szCs w:val="34"/>
        </w:rPr>
      </w:pPr>
    </w:p>
    <w:p w14:paraId="00000002" w14:textId="77777777" w:rsidR="00416D7A" w:rsidRDefault="00416D7A">
      <w:pPr>
        <w:pStyle w:val="Normal2"/>
        <w:rPr>
          <w:rFonts w:ascii="Roboto" w:eastAsia="Roboto" w:hAnsi="Roboto" w:cs="Roboto"/>
          <w:sz w:val="28"/>
          <w:szCs w:val="28"/>
        </w:rPr>
      </w:pPr>
    </w:p>
    <w:p w14:paraId="00000003" w14:textId="77777777" w:rsidR="00416D7A" w:rsidRDefault="00A13249">
      <w:pPr>
        <w:pStyle w:val="Normal2"/>
        <w:jc w:val="center"/>
        <w:rPr>
          <w:rFonts w:ascii="Roboto" w:eastAsia="Roboto" w:hAnsi="Roboto" w:cs="Roboto"/>
          <w:b/>
          <w:sz w:val="36"/>
          <w:szCs w:val="36"/>
        </w:rPr>
      </w:pPr>
      <w:r>
        <w:rPr>
          <w:rFonts w:ascii="Roboto" w:eastAsia="Roboto" w:hAnsi="Roboto" w:cs="Roboto"/>
          <w:b/>
          <w:sz w:val="36"/>
          <w:szCs w:val="36"/>
        </w:rPr>
        <w:t>IVAC, primer acreditado por ENAC para la certificación del sistema de gestión en el ámbito del fin de la condición de residuos termoplásticos</w:t>
      </w:r>
    </w:p>
    <w:p w14:paraId="00000004" w14:textId="77777777" w:rsidR="00416D7A" w:rsidRDefault="00A13249">
      <w:pPr>
        <w:pStyle w:val="Normal2"/>
        <w:rPr>
          <w:rFonts w:ascii="Roboto" w:eastAsia="Roboto" w:hAnsi="Roboto" w:cs="Roboto"/>
          <w:sz w:val="28"/>
          <w:szCs w:val="28"/>
        </w:rPr>
      </w:pPr>
      <w:r>
        <w:rPr>
          <w:rFonts w:ascii="Roboto" w:eastAsia="Roboto" w:hAnsi="Roboto" w:cs="Roboto"/>
          <w:sz w:val="28"/>
          <w:szCs w:val="28"/>
        </w:rPr>
        <w:t xml:space="preserve"> </w:t>
      </w:r>
    </w:p>
    <w:p w14:paraId="00000005" w14:textId="77777777" w:rsidR="00416D7A" w:rsidRDefault="00A13249">
      <w:pPr>
        <w:pStyle w:val="Normal2"/>
        <w:numPr>
          <w:ilvl w:val="0"/>
          <w:numId w:val="1"/>
        </w:numPr>
        <w:spacing w:after="160"/>
        <w:jc w:val="both"/>
        <w:rPr>
          <w:rFonts w:ascii="Roboto" w:eastAsia="Roboto" w:hAnsi="Roboto" w:cs="Roboto"/>
          <w:b/>
        </w:rPr>
      </w:pPr>
      <w:r>
        <w:rPr>
          <w:rFonts w:ascii="Roboto" w:eastAsia="Roboto" w:hAnsi="Roboto" w:cs="Roboto"/>
          <w:b/>
          <w:sz w:val="22"/>
          <w:szCs w:val="22"/>
        </w:rPr>
        <w:t xml:space="preserve">Hacer uso de entidades de certificación acreditadas para esta actividad es un requisito reglamentario de la </w:t>
      </w:r>
      <w:hyperlink r:id="rId11">
        <w:r>
          <w:rPr>
            <w:rFonts w:ascii="Roboto" w:eastAsia="Roboto" w:hAnsi="Roboto" w:cs="Roboto"/>
            <w:b/>
            <w:sz w:val="22"/>
            <w:szCs w:val="22"/>
          </w:rPr>
          <w:t>Orden TED/646/2023</w:t>
        </w:r>
      </w:hyperlink>
      <w:r>
        <w:rPr>
          <w:rFonts w:ascii="Roboto" w:eastAsia="Roboto" w:hAnsi="Roboto" w:cs="Roboto"/>
          <w:b/>
          <w:sz w:val="22"/>
          <w:szCs w:val="22"/>
        </w:rPr>
        <w:t xml:space="preserve"> </w:t>
      </w:r>
    </w:p>
    <w:p w14:paraId="00000006" w14:textId="77777777" w:rsidR="00416D7A" w:rsidRDefault="00416D7A">
      <w:pPr>
        <w:pStyle w:val="Normal2"/>
        <w:ind w:left="720"/>
        <w:jc w:val="both"/>
        <w:rPr>
          <w:rFonts w:ascii="Roboto" w:eastAsia="Roboto" w:hAnsi="Roboto" w:cs="Roboto"/>
          <w:b/>
          <w:sz w:val="20"/>
          <w:szCs w:val="20"/>
        </w:rPr>
      </w:pPr>
    </w:p>
    <w:p w14:paraId="00000007" w14:textId="7084E292" w:rsidR="00416D7A" w:rsidRDefault="00A13249">
      <w:pPr>
        <w:pStyle w:val="Normal2"/>
        <w:jc w:val="both"/>
        <w:rPr>
          <w:rFonts w:ascii="Roboto" w:eastAsia="Roboto" w:hAnsi="Roboto" w:cs="Roboto"/>
          <w:sz w:val="22"/>
          <w:szCs w:val="22"/>
        </w:rPr>
      </w:pPr>
      <w:r w:rsidRPr="34F5BB07">
        <w:rPr>
          <w:rFonts w:ascii="Roboto" w:eastAsia="Roboto" w:hAnsi="Roboto" w:cs="Roboto"/>
          <w:sz w:val="22"/>
          <w:szCs w:val="22"/>
        </w:rPr>
        <w:t xml:space="preserve">Madrid, </w:t>
      </w:r>
      <w:r w:rsidR="6D501DFE" w:rsidRPr="34F5BB07">
        <w:rPr>
          <w:rFonts w:ascii="Roboto" w:eastAsia="Roboto" w:hAnsi="Roboto" w:cs="Roboto"/>
          <w:sz w:val="22"/>
          <w:szCs w:val="22"/>
        </w:rPr>
        <w:t xml:space="preserve">20 </w:t>
      </w:r>
      <w:r w:rsidRPr="34F5BB07">
        <w:rPr>
          <w:rFonts w:ascii="Roboto" w:eastAsia="Roboto" w:hAnsi="Roboto" w:cs="Roboto"/>
          <w:sz w:val="22"/>
          <w:szCs w:val="22"/>
        </w:rPr>
        <w:t xml:space="preserve">de mayo de 2024.- </w:t>
      </w:r>
      <w:sdt>
        <w:sdtPr>
          <w:tag w:val="goog_rdk_0"/>
          <w:id w:val="783728424"/>
        </w:sdtPr>
        <w:sdtEndPr/>
        <w:sdtContent>
          <w:r w:rsidRPr="34F5BB07">
            <w:rPr>
              <w:rFonts w:ascii="Roboto" w:eastAsia="Roboto" w:hAnsi="Roboto" w:cs="Roboto"/>
              <w:sz w:val="22"/>
              <w:szCs w:val="22"/>
            </w:rPr>
            <w:t xml:space="preserve">La </w:t>
          </w:r>
          <w:hyperlink r:id="rId12" w:history="1">
            <w:r w:rsidRPr="34F5BB07">
              <w:rPr>
                <w:rFonts w:ascii="Roboto" w:eastAsia="Roboto" w:hAnsi="Roboto" w:cs="Roboto"/>
                <w:sz w:val="22"/>
                <w:szCs w:val="22"/>
              </w:rPr>
              <w:t>Entidad Nacional de Acreditación</w:t>
            </w:r>
          </w:hyperlink>
          <w:r w:rsidRPr="34F5BB07">
            <w:rPr>
              <w:rFonts w:ascii="Roboto" w:eastAsia="Roboto" w:hAnsi="Roboto" w:cs="Roboto"/>
              <w:sz w:val="22"/>
              <w:szCs w:val="22"/>
            </w:rPr>
            <w:t xml:space="preserve"> (</w:t>
          </w:r>
        </w:sdtContent>
      </w:sdt>
      <w:r w:rsidRPr="34F5BB07">
        <w:rPr>
          <w:rFonts w:ascii="Roboto" w:eastAsia="Roboto" w:hAnsi="Roboto" w:cs="Roboto"/>
          <w:sz w:val="22"/>
          <w:szCs w:val="22"/>
        </w:rPr>
        <w:t>ENAC</w:t>
      </w:r>
      <w:sdt>
        <w:sdtPr>
          <w:tag w:val="goog_rdk_1"/>
          <w:id w:val="1872376024"/>
        </w:sdtPr>
        <w:sdtEndPr/>
        <w:sdtContent>
          <w:r w:rsidRPr="34F5BB07">
            <w:rPr>
              <w:rFonts w:ascii="Roboto" w:eastAsia="Roboto" w:hAnsi="Roboto" w:cs="Roboto"/>
              <w:sz w:val="22"/>
              <w:szCs w:val="22"/>
            </w:rPr>
            <w:t>)</w:t>
          </w:r>
        </w:sdtContent>
      </w:sdt>
      <w:r w:rsidRPr="34F5BB07">
        <w:rPr>
          <w:rFonts w:ascii="Roboto" w:eastAsia="Roboto" w:hAnsi="Roboto" w:cs="Roboto"/>
          <w:sz w:val="22"/>
          <w:szCs w:val="22"/>
        </w:rPr>
        <w:t xml:space="preserve"> ha concedido a </w:t>
      </w:r>
      <w:r w:rsidRPr="34F5BB07">
        <w:rPr>
          <w:rFonts w:ascii="Roboto" w:eastAsia="Roboto" w:hAnsi="Roboto" w:cs="Roboto"/>
          <w:b/>
          <w:bCs/>
          <w:sz w:val="22"/>
          <w:szCs w:val="22"/>
        </w:rPr>
        <w:t>IVAC-Instituto de Certificación la primera acreditación como certificador de sistemas de gestión de los productores de materiales termoplásticos que dejan de tener la condición de residuo</w:t>
      </w:r>
      <w:r w:rsidRPr="34F5BB07">
        <w:rPr>
          <w:rFonts w:ascii="Roboto" w:eastAsia="Roboto" w:hAnsi="Roboto" w:cs="Roboto"/>
          <w:sz w:val="22"/>
          <w:szCs w:val="22"/>
        </w:rPr>
        <w:t xml:space="preserve">, de acuerdo a lo establecido en la </w:t>
      </w:r>
      <w:hyperlink r:id="rId13">
        <w:r w:rsidRPr="34F5BB07">
          <w:rPr>
            <w:rFonts w:ascii="Roboto" w:eastAsia="Roboto" w:hAnsi="Roboto" w:cs="Roboto"/>
            <w:b/>
            <w:bCs/>
            <w:sz w:val="22"/>
            <w:szCs w:val="22"/>
            <w:u w:val="single"/>
          </w:rPr>
          <w:t>Orden TED/646/2023</w:t>
        </w:r>
      </w:hyperlink>
      <w:r w:rsidRPr="34F5BB07">
        <w:rPr>
          <w:rFonts w:ascii="Roboto" w:eastAsia="Roboto" w:hAnsi="Roboto" w:cs="Roboto"/>
          <w:sz w:val="22"/>
          <w:szCs w:val="22"/>
        </w:rPr>
        <w:t xml:space="preserve"> que establece que los productores o importadores deberán implantar o exigir respectivamente un sistema de gestión que les permita demostrar su cumplimiento con los requisitos y que dicho sistema deberá estar certificado por una entidad de certificación acreditada de acuerdo al Reglamento nº765/2008 del Parlamento Europeo y del Consejo, lo que implica, en el caso de España, disponer de una acreditación de ENAC.</w:t>
      </w:r>
    </w:p>
    <w:p w14:paraId="00000008" w14:textId="77777777" w:rsidR="00416D7A" w:rsidRDefault="00416D7A">
      <w:pPr>
        <w:pStyle w:val="Normal2"/>
        <w:jc w:val="both"/>
        <w:rPr>
          <w:rFonts w:ascii="Roboto" w:eastAsia="Roboto" w:hAnsi="Roboto" w:cs="Roboto"/>
          <w:sz w:val="22"/>
          <w:szCs w:val="22"/>
        </w:rPr>
      </w:pPr>
    </w:p>
    <w:p w14:paraId="00000009" w14:textId="77777777" w:rsidR="00416D7A" w:rsidRDefault="00A13249">
      <w:pPr>
        <w:pStyle w:val="Normal2"/>
        <w:spacing w:after="160"/>
        <w:jc w:val="both"/>
        <w:rPr>
          <w:rFonts w:ascii="Roboto" w:eastAsia="Roboto" w:hAnsi="Roboto" w:cs="Roboto"/>
          <w:sz w:val="22"/>
          <w:szCs w:val="22"/>
        </w:rPr>
      </w:pPr>
      <w:r>
        <w:rPr>
          <w:rFonts w:ascii="Roboto" w:eastAsia="Roboto" w:hAnsi="Roboto" w:cs="Roboto"/>
          <w:sz w:val="22"/>
          <w:szCs w:val="22"/>
        </w:rPr>
        <w:t xml:space="preserve">Hacer </w:t>
      </w:r>
      <w:r>
        <w:rPr>
          <w:rFonts w:ascii="Roboto" w:eastAsia="Roboto" w:hAnsi="Roboto" w:cs="Roboto"/>
          <w:b/>
          <w:sz w:val="22"/>
          <w:szCs w:val="22"/>
        </w:rPr>
        <w:t>uso de entidades de certificación acreditadas para esta actividad es un requisito</w:t>
      </w:r>
      <w:r>
        <w:rPr>
          <w:rFonts w:ascii="Roboto" w:eastAsia="Roboto" w:hAnsi="Roboto" w:cs="Roboto"/>
          <w:sz w:val="22"/>
          <w:szCs w:val="22"/>
        </w:rPr>
        <w:t xml:space="preserve"> </w:t>
      </w:r>
      <w:r>
        <w:rPr>
          <w:rFonts w:ascii="Roboto" w:eastAsia="Roboto" w:hAnsi="Roboto" w:cs="Roboto"/>
          <w:b/>
          <w:sz w:val="22"/>
          <w:szCs w:val="22"/>
        </w:rPr>
        <w:t>reglamentario</w:t>
      </w:r>
      <w:r>
        <w:rPr>
          <w:rFonts w:ascii="Roboto" w:eastAsia="Roboto" w:hAnsi="Roboto" w:cs="Roboto"/>
          <w:sz w:val="22"/>
          <w:szCs w:val="22"/>
        </w:rPr>
        <w:t xml:space="preserve"> incluido en la citada Orden y atestigua que la entidad acreditada dispone de procesos de evaluación y decisión fiables y realizados por personal evaluado competente e imparcial, capaz por ello de confirmar técnicamente que el productor (gestor de residuos) ha implantado un sistema de gestión que permite demostrar, en este caso, el cumplimiento con los criterios indicados en los distritos Reglamentos y normativa nacional.</w:t>
      </w:r>
    </w:p>
    <w:p w14:paraId="637D7662" w14:textId="77777777" w:rsidR="004A0B36" w:rsidRDefault="004A0B36">
      <w:pPr>
        <w:pStyle w:val="Normal2"/>
        <w:spacing w:after="160"/>
        <w:jc w:val="both"/>
        <w:rPr>
          <w:rFonts w:ascii="Roboto" w:eastAsia="Roboto" w:hAnsi="Roboto" w:cs="Roboto"/>
          <w:b/>
          <w:sz w:val="22"/>
          <w:szCs w:val="22"/>
        </w:rPr>
      </w:pPr>
    </w:p>
    <w:p w14:paraId="0000000A" w14:textId="579753FA" w:rsidR="00416D7A" w:rsidRDefault="00A13249">
      <w:pPr>
        <w:pStyle w:val="Normal2"/>
        <w:spacing w:after="160"/>
        <w:jc w:val="both"/>
        <w:rPr>
          <w:rFonts w:ascii="Roboto" w:eastAsia="Roboto" w:hAnsi="Roboto" w:cs="Roboto"/>
          <w:b/>
          <w:sz w:val="22"/>
          <w:szCs w:val="22"/>
        </w:rPr>
      </w:pPr>
      <w:r>
        <w:rPr>
          <w:rFonts w:ascii="Roboto" w:eastAsia="Roboto" w:hAnsi="Roboto" w:cs="Roboto"/>
          <w:b/>
          <w:sz w:val="22"/>
          <w:szCs w:val="22"/>
        </w:rPr>
        <w:t>La acreditación al servicio de la economía circular</w:t>
      </w:r>
    </w:p>
    <w:p w14:paraId="0000000B" w14:textId="77777777" w:rsidR="00416D7A" w:rsidRDefault="00A13249">
      <w:pPr>
        <w:pStyle w:val="Normal2"/>
        <w:spacing w:after="160"/>
        <w:jc w:val="both"/>
        <w:rPr>
          <w:rFonts w:ascii="Roboto" w:eastAsia="Roboto" w:hAnsi="Roboto" w:cs="Roboto"/>
          <w:sz w:val="22"/>
          <w:szCs w:val="22"/>
        </w:rPr>
      </w:pPr>
      <w:r>
        <w:rPr>
          <w:rFonts w:ascii="Roboto" w:eastAsia="Roboto" w:hAnsi="Roboto" w:cs="Roboto"/>
          <w:sz w:val="22"/>
          <w:szCs w:val="22"/>
        </w:rPr>
        <w:t>El concepto de fin de la condición de residuo fue introducido por la Estrategia Temática sobre Prevención y Reciclado de Residuos, adoptada por la Comisión Europea en 2005, en la que se proponía que la disposición de la Directiva Marco de Residuos aclarase en qué condiciones los residuos podían dejar de serlo y considerarse un material no residuo que podía comercializarse libremente como tal en el mercado abierto.</w:t>
      </w:r>
    </w:p>
    <w:p w14:paraId="0000000C" w14:textId="77777777" w:rsidR="00416D7A" w:rsidRDefault="00A13249">
      <w:pPr>
        <w:pStyle w:val="Normal2"/>
        <w:spacing w:after="160"/>
        <w:jc w:val="both"/>
        <w:rPr>
          <w:rFonts w:ascii="Roboto" w:eastAsia="Roboto" w:hAnsi="Roboto" w:cs="Roboto"/>
          <w:sz w:val="22"/>
          <w:szCs w:val="22"/>
        </w:rPr>
      </w:pPr>
      <w:r w:rsidRPr="34F5BB07">
        <w:rPr>
          <w:rFonts w:ascii="Roboto" w:eastAsia="Roboto" w:hAnsi="Roboto" w:cs="Roboto"/>
          <w:sz w:val="22"/>
          <w:szCs w:val="22"/>
        </w:rPr>
        <w:t>En línea con ello, tanto la Comisión Europea como la administración ambiental española han aprobado -y prevén aprobar en el futuro- un conjunto de Reglamentos y normativa nacional encaminadas a facilitar la reintroducción en los ciclos productivos de determinados subproductos hasta ahora considerados “residuos” de acuerdo con la normativa europea al respecto. Se establece reglamentariamente el mecanismo y los requisitos que los materiales recuperados y sus productores deben cumplir para garantizar un nivel elevado de protección del medio ambiente y la salud humana satisfaciendo las especificaciones de pureza de las distintas industrias.</w:t>
      </w:r>
    </w:p>
    <w:p w14:paraId="00000011" w14:textId="77777777" w:rsidR="00416D7A" w:rsidRDefault="00A13249">
      <w:pPr>
        <w:pStyle w:val="Normal2"/>
        <w:spacing w:after="160"/>
        <w:jc w:val="both"/>
        <w:rPr>
          <w:rFonts w:ascii="Roboto" w:eastAsia="Roboto" w:hAnsi="Roboto" w:cs="Roboto"/>
          <w:sz w:val="22"/>
          <w:szCs w:val="22"/>
        </w:rPr>
      </w:pPr>
      <w:r>
        <w:rPr>
          <w:rFonts w:ascii="Roboto" w:eastAsia="Roboto" w:hAnsi="Roboto" w:cs="Roboto"/>
          <w:b/>
          <w:sz w:val="22"/>
          <w:szCs w:val="22"/>
        </w:rPr>
        <w:t xml:space="preserve">Este esquema de certificación acreditado supone un importante paso adelante, que contribuye a poner fin al anticuado concepto de «residuos» y da valor al concepto «fin </w:t>
      </w:r>
      <w:r>
        <w:rPr>
          <w:rFonts w:ascii="Roboto" w:eastAsia="Roboto" w:hAnsi="Roboto" w:cs="Roboto"/>
          <w:b/>
          <w:sz w:val="22"/>
          <w:szCs w:val="22"/>
        </w:rPr>
        <w:lastRenderedPageBreak/>
        <w:t>de condición de residuo</w:t>
      </w:r>
      <w:r>
        <w:rPr>
          <w:rFonts w:ascii="Roboto" w:eastAsia="Roboto" w:hAnsi="Roboto" w:cs="Roboto"/>
          <w:sz w:val="22"/>
          <w:szCs w:val="22"/>
        </w:rPr>
        <w:t>» representando una vía alternativa para el correcto desarrollo de los procedimientos de reciclado y valorización, así como para el ahorro de materias primas naturales.</w:t>
      </w:r>
    </w:p>
    <w:p w14:paraId="00000012" w14:textId="77777777" w:rsidR="00416D7A" w:rsidRDefault="00A13249">
      <w:pPr>
        <w:pStyle w:val="Normal2"/>
        <w:spacing w:after="160"/>
        <w:jc w:val="both"/>
        <w:rPr>
          <w:rFonts w:ascii="Roboto" w:eastAsia="Roboto" w:hAnsi="Roboto" w:cs="Roboto"/>
          <w:sz w:val="22"/>
          <w:szCs w:val="22"/>
        </w:rPr>
      </w:pPr>
      <w:r w:rsidRPr="34F5BB07">
        <w:rPr>
          <w:rFonts w:ascii="Roboto" w:eastAsia="Roboto" w:hAnsi="Roboto" w:cs="Roboto"/>
          <w:sz w:val="22"/>
          <w:szCs w:val="22"/>
        </w:rPr>
        <w:t>De nuevo, la acreditación se convierte en una herramienta al servicio de las administraciones públicas para la consecución de sus objetivos de políticas públicas con una reducción de costes y una mayor agilidad, flexibilidad y armonización, garantizando, al mismo tiempo, la seguridad e integridad de actividades de evaluación y control que intervienen en sectores clave como la gestión de residuos para una economía circular.</w:t>
      </w:r>
    </w:p>
    <w:p w14:paraId="00000014" w14:textId="77777777" w:rsidR="00416D7A" w:rsidRDefault="00A13249">
      <w:pPr>
        <w:pStyle w:val="Normal2"/>
        <w:jc w:val="both"/>
        <w:rPr>
          <w:rFonts w:ascii="Roboto" w:eastAsia="Roboto" w:hAnsi="Roboto" w:cs="Roboto"/>
          <w:b/>
          <w:color w:val="E83544"/>
          <w:sz w:val="22"/>
          <w:szCs w:val="22"/>
        </w:rPr>
      </w:pPr>
      <w:r>
        <w:rPr>
          <w:rFonts w:ascii="Roboto" w:eastAsia="Roboto" w:hAnsi="Roboto" w:cs="Roboto"/>
          <w:b/>
          <w:color w:val="E83544"/>
          <w:sz w:val="22"/>
          <w:szCs w:val="22"/>
        </w:rPr>
        <w:t>Sobre ENAC</w:t>
      </w:r>
    </w:p>
    <w:p w14:paraId="00000015" w14:textId="77777777" w:rsidR="00416D7A" w:rsidRDefault="00416D7A">
      <w:pPr>
        <w:pStyle w:val="Normal2"/>
        <w:jc w:val="both"/>
        <w:rPr>
          <w:rFonts w:ascii="Roboto" w:eastAsia="Roboto" w:hAnsi="Roboto" w:cs="Roboto"/>
          <w:b/>
          <w:color w:val="E83544"/>
          <w:sz w:val="22"/>
          <w:szCs w:val="22"/>
        </w:rPr>
      </w:pPr>
    </w:p>
    <w:p w14:paraId="00000016" w14:textId="77777777" w:rsidR="00416D7A" w:rsidRDefault="00A13249">
      <w:pPr>
        <w:pStyle w:val="Normal2"/>
        <w:jc w:val="both"/>
        <w:rPr>
          <w:rFonts w:ascii="Roboto" w:eastAsia="Roboto" w:hAnsi="Roboto" w:cs="Roboto"/>
          <w:sz w:val="22"/>
          <w:szCs w:val="22"/>
        </w:rPr>
      </w:pPr>
      <w:r>
        <w:rPr>
          <w:rFonts w:ascii="Roboto" w:eastAsia="Roboto" w:hAnsi="Roboto" w:cs="Roboto"/>
          <w:sz w:val="22"/>
          <w:szCs w:val="22"/>
        </w:rPr>
        <w:t>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w:t>
      </w:r>
    </w:p>
    <w:p w14:paraId="00000017" w14:textId="77777777" w:rsidR="00416D7A" w:rsidRDefault="00416D7A">
      <w:pPr>
        <w:pStyle w:val="Normal2"/>
        <w:jc w:val="both"/>
        <w:rPr>
          <w:rFonts w:ascii="Roboto" w:eastAsia="Roboto" w:hAnsi="Roboto" w:cs="Roboto"/>
          <w:sz w:val="22"/>
          <w:szCs w:val="22"/>
        </w:rPr>
      </w:pPr>
    </w:p>
    <w:p w14:paraId="00000018" w14:textId="77777777" w:rsidR="00416D7A" w:rsidRDefault="00A13249">
      <w:pPr>
        <w:pStyle w:val="Normal2"/>
        <w:jc w:val="both"/>
        <w:rPr>
          <w:rFonts w:ascii="Roboto" w:eastAsia="Roboto" w:hAnsi="Roboto" w:cs="Roboto"/>
          <w:sz w:val="22"/>
          <w:szCs w:val="22"/>
        </w:rPr>
      </w:pPr>
      <w:r>
        <w:rPr>
          <w:rFonts w:ascii="Roboto" w:eastAsia="Roboto" w:hAnsi="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00000019" w14:textId="77777777" w:rsidR="00416D7A" w:rsidRDefault="00A13249">
      <w:pPr>
        <w:pStyle w:val="Normal2"/>
        <w:jc w:val="both"/>
        <w:rPr>
          <w:rFonts w:ascii="Roboto" w:eastAsia="Roboto" w:hAnsi="Roboto" w:cs="Roboto"/>
          <w:sz w:val="22"/>
          <w:szCs w:val="22"/>
        </w:rPr>
      </w:pPr>
      <w:r>
        <w:rPr>
          <w:rFonts w:ascii="Roboto" w:eastAsia="Roboto" w:hAnsi="Roboto" w:cs="Roboto"/>
          <w:sz w:val="22"/>
          <w:szCs w:val="22"/>
        </w:rPr>
        <w:t> </w:t>
      </w:r>
    </w:p>
    <w:p w14:paraId="0000001A" w14:textId="77777777" w:rsidR="00416D7A" w:rsidRDefault="00A13249">
      <w:pPr>
        <w:pStyle w:val="Normal2"/>
        <w:jc w:val="both"/>
        <w:rPr>
          <w:rFonts w:ascii="Roboto" w:eastAsia="Roboto" w:hAnsi="Roboto" w:cs="Roboto"/>
          <w:sz w:val="22"/>
          <w:szCs w:val="22"/>
        </w:rPr>
      </w:pPr>
      <w:r>
        <w:rPr>
          <w:rFonts w:ascii="Roboto" w:eastAsia="Roboto" w:hAnsi="Roboto" w:cs="Roboto"/>
          <w:sz w:val="22"/>
          <w:szCs w:val="22"/>
        </w:rPr>
        <w:t>La marca ENAC es la manera de distinguir si un certificado o informe está acreditado o no. Es la garantía de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w:t>
      </w:r>
    </w:p>
    <w:p w14:paraId="0000001B" w14:textId="77777777" w:rsidR="00416D7A" w:rsidRDefault="00416D7A">
      <w:pPr>
        <w:pStyle w:val="Normal2"/>
        <w:jc w:val="both"/>
        <w:rPr>
          <w:rFonts w:ascii="Roboto" w:eastAsia="Roboto" w:hAnsi="Roboto" w:cs="Roboto"/>
          <w:sz w:val="22"/>
          <w:szCs w:val="22"/>
        </w:rPr>
      </w:pPr>
    </w:p>
    <w:p w14:paraId="0000001C" w14:textId="77777777" w:rsidR="00416D7A" w:rsidRDefault="004A0B36">
      <w:pPr>
        <w:pStyle w:val="Normal2"/>
        <w:pBdr>
          <w:bottom w:val="single" w:sz="12" w:space="1" w:color="000000"/>
        </w:pBdr>
        <w:jc w:val="both"/>
        <w:rPr>
          <w:rFonts w:ascii="Roboto" w:eastAsia="Roboto" w:hAnsi="Roboto" w:cs="Roboto"/>
          <w:color w:val="E83544"/>
          <w:sz w:val="22"/>
          <w:szCs w:val="22"/>
        </w:rPr>
      </w:pPr>
      <w:hyperlink r:id="rId14">
        <w:r w:rsidR="00A13249">
          <w:rPr>
            <w:rFonts w:ascii="Roboto" w:eastAsia="Roboto" w:hAnsi="Roboto" w:cs="Roboto"/>
            <w:color w:val="E83544"/>
            <w:sz w:val="22"/>
            <w:szCs w:val="22"/>
            <w:u w:val="single"/>
          </w:rPr>
          <w:t>www.enac.es</w:t>
        </w:r>
      </w:hyperlink>
      <w:r w:rsidR="00A13249">
        <w:rPr>
          <w:rFonts w:ascii="Roboto" w:eastAsia="Roboto" w:hAnsi="Roboto" w:cs="Roboto"/>
          <w:color w:val="E83544"/>
          <w:sz w:val="22"/>
          <w:szCs w:val="22"/>
        </w:rPr>
        <w:t xml:space="preserve"> </w:t>
      </w:r>
    </w:p>
    <w:p w14:paraId="0000001D" w14:textId="77777777" w:rsidR="00416D7A" w:rsidRDefault="00416D7A">
      <w:pPr>
        <w:pStyle w:val="Normal2"/>
        <w:pBdr>
          <w:bottom w:val="single" w:sz="12" w:space="1" w:color="000000"/>
        </w:pBdr>
        <w:jc w:val="both"/>
        <w:rPr>
          <w:rFonts w:ascii="Roboto" w:eastAsia="Roboto" w:hAnsi="Roboto" w:cs="Roboto"/>
          <w:color w:val="E83544"/>
          <w:sz w:val="22"/>
          <w:szCs w:val="22"/>
        </w:rPr>
      </w:pPr>
    </w:p>
    <w:p w14:paraId="0000001E" w14:textId="77777777" w:rsidR="00416D7A" w:rsidRDefault="00A13249">
      <w:pPr>
        <w:pStyle w:val="Normal2"/>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114300" distB="114300" distL="114300" distR="114300" wp14:anchorId="16F282F8" wp14:editId="07777777">
            <wp:extent cx="309284" cy="309284"/>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09284" cy="309284"/>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579B9DA2" wp14:editId="07777777">
            <wp:extent cx="304800" cy="30480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04800" cy="304800"/>
                    </a:xfrm>
                    <a:prstGeom prst="rect">
                      <a:avLst/>
                    </a:prstGeom>
                    <a:ln/>
                  </pic:spPr>
                </pic:pic>
              </a:graphicData>
            </a:graphic>
          </wp:inline>
        </w:drawing>
      </w:r>
    </w:p>
    <w:p w14:paraId="0000001F" w14:textId="77777777" w:rsidR="00416D7A" w:rsidRDefault="00416D7A">
      <w:pPr>
        <w:pStyle w:val="Normal2"/>
        <w:pBdr>
          <w:bottom w:val="single" w:sz="12" w:space="1" w:color="000000"/>
        </w:pBdr>
        <w:jc w:val="both"/>
        <w:rPr>
          <w:rFonts w:ascii="Roboto" w:eastAsia="Roboto" w:hAnsi="Roboto" w:cs="Roboto"/>
          <w:color w:val="E83544"/>
          <w:sz w:val="22"/>
          <w:szCs w:val="22"/>
        </w:rPr>
      </w:pPr>
    </w:p>
    <w:p w14:paraId="00000020" w14:textId="77777777" w:rsidR="00416D7A" w:rsidRDefault="00416D7A">
      <w:pPr>
        <w:pStyle w:val="Normal2"/>
        <w:jc w:val="both"/>
        <w:rPr>
          <w:rFonts w:ascii="Roboto" w:eastAsia="Roboto" w:hAnsi="Roboto" w:cs="Roboto"/>
          <w:color w:val="E83544"/>
          <w:sz w:val="22"/>
          <w:szCs w:val="22"/>
        </w:rPr>
      </w:pPr>
    </w:p>
    <w:p w14:paraId="00000021" w14:textId="77777777" w:rsidR="00416D7A" w:rsidRDefault="00416D7A">
      <w:pPr>
        <w:pStyle w:val="Normal2"/>
        <w:jc w:val="both"/>
        <w:rPr>
          <w:rFonts w:ascii="Roboto" w:eastAsia="Roboto" w:hAnsi="Roboto" w:cs="Roboto"/>
          <w:sz w:val="22"/>
          <w:szCs w:val="22"/>
        </w:rPr>
      </w:pPr>
    </w:p>
    <w:p w14:paraId="00000022" w14:textId="77777777" w:rsidR="00416D7A" w:rsidRDefault="00416D7A">
      <w:pPr>
        <w:pStyle w:val="Normal2"/>
        <w:jc w:val="both"/>
        <w:rPr>
          <w:rFonts w:ascii="Roboto" w:eastAsia="Roboto" w:hAnsi="Roboto" w:cs="Roboto"/>
          <w:sz w:val="22"/>
          <w:szCs w:val="22"/>
        </w:rPr>
      </w:pPr>
    </w:p>
    <w:p w14:paraId="00000023" w14:textId="77777777" w:rsidR="00416D7A" w:rsidRDefault="00A13249">
      <w:pPr>
        <w:pStyle w:val="Normal2"/>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00000024" w14:textId="77777777" w:rsidR="00416D7A" w:rsidRDefault="00A13249">
      <w:pPr>
        <w:pStyle w:val="Normal2"/>
        <w:jc w:val="both"/>
        <w:rPr>
          <w:rFonts w:ascii="Roboto" w:eastAsia="Roboto" w:hAnsi="Roboto" w:cs="Roboto"/>
          <w:sz w:val="22"/>
          <w:szCs w:val="22"/>
        </w:rPr>
      </w:pPr>
      <w:r>
        <w:rPr>
          <w:rFonts w:ascii="Roboto" w:eastAsia="Roboto" w:hAnsi="Roboto" w:cs="Roboto"/>
          <w:sz w:val="22"/>
          <w:szCs w:val="22"/>
        </w:rPr>
        <w:t>Eva Martín</w:t>
      </w:r>
    </w:p>
    <w:p w14:paraId="00000025" w14:textId="77777777" w:rsidR="00416D7A" w:rsidRDefault="00A13249">
      <w:pPr>
        <w:pStyle w:val="Normal2"/>
        <w:jc w:val="both"/>
        <w:rPr>
          <w:rFonts w:ascii="Roboto" w:eastAsia="Roboto" w:hAnsi="Roboto" w:cs="Roboto"/>
          <w:sz w:val="22"/>
          <w:szCs w:val="22"/>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7">
        <w:r>
          <w:rPr>
            <w:rFonts w:ascii="Roboto" w:eastAsia="Roboto" w:hAnsi="Roboto" w:cs="Roboto"/>
            <w:color w:val="E83544"/>
            <w:sz w:val="22"/>
            <w:szCs w:val="22"/>
            <w:u w:val="single"/>
          </w:rPr>
          <w:t>evamc@varenga.es</w:t>
        </w:r>
      </w:hyperlink>
    </w:p>
    <w:p w14:paraId="00000026" w14:textId="77777777" w:rsidR="00416D7A" w:rsidRDefault="00416D7A">
      <w:pPr>
        <w:pStyle w:val="Normal2"/>
        <w:spacing w:after="160"/>
        <w:jc w:val="both"/>
        <w:rPr>
          <w:rFonts w:ascii="Roboto" w:eastAsia="Roboto" w:hAnsi="Roboto" w:cs="Roboto"/>
          <w:color w:val="333333"/>
          <w:sz w:val="27"/>
          <w:szCs w:val="27"/>
          <w:highlight w:val="white"/>
        </w:rPr>
      </w:pPr>
    </w:p>
    <w:p w14:paraId="00000027" w14:textId="77777777" w:rsidR="00416D7A" w:rsidRDefault="00416D7A">
      <w:pPr>
        <w:pStyle w:val="Normal2"/>
      </w:pPr>
    </w:p>
    <w:p w14:paraId="00000028" w14:textId="77777777" w:rsidR="00416D7A" w:rsidRDefault="00416D7A">
      <w:pPr>
        <w:pStyle w:val="Normal2"/>
      </w:pPr>
    </w:p>
    <w:p w14:paraId="00000029" w14:textId="77777777" w:rsidR="00416D7A" w:rsidRDefault="00416D7A">
      <w:pPr>
        <w:pStyle w:val="Normal2"/>
        <w:pBdr>
          <w:top w:val="nil"/>
          <w:left w:val="nil"/>
          <w:bottom w:val="nil"/>
          <w:right w:val="nil"/>
          <w:between w:val="nil"/>
        </w:pBdr>
        <w:rPr>
          <w:rFonts w:ascii="Calibri" w:eastAsia="Calibri" w:hAnsi="Calibri" w:cs="Calibri"/>
          <w:highlight w:val="white"/>
        </w:rPr>
      </w:pPr>
    </w:p>
    <w:sectPr w:rsidR="00416D7A">
      <w:headerReference w:type="even" r:id="rId18"/>
      <w:headerReference w:type="default" r:id="rId19"/>
      <w:footerReference w:type="even" r:id="rId20"/>
      <w:footerReference w:type="default" r:id="rId21"/>
      <w:headerReference w:type="first" r:id="rId22"/>
      <w:footerReference w:type="first" r:id="rId2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E08CAE" w14:textId="77777777" w:rsidR="00A13249" w:rsidRDefault="00A13249">
      <w:r>
        <w:separator/>
      </w:r>
    </w:p>
  </w:endnote>
  <w:endnote w:type="continuationSeparator" w:id="0">
    <w:p w14:paraId="24691F70" w14:textId="77777777" w:rsidR="00A13249" w:rsidRDefault="00A13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0867F625-6DC0-45CB-B6A5-4571A221E0A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D77F8B9-6544-43EB-AADB-3DF75B5770D1}"/>
    <w:embedItalic r:id="rId3" w:fontKey="{5EDDC69A-721F-4568-A971-ED33FAFD721A}"/>
  </w:font>
  <w:font w:name="Roboto">
    <w:charset w:val="00"/>
    <w:family w:val="auto"/>
    <w:pitch w:val="variable"/>
    <w:sig w:usb0="E0000AFF" w:usb1="5000217F" w:usb2="00000021" w:usb3="00000000" w:csb0="0000019F" w:csb1="00000000"/>
    <w:embedRegular r:id="rId4" w:fontKey="{D80718DE-059E-4C9A-A4B9-540D4756EFDD}"/>
    <w:embedBold r:id="rId5" w:fontKey="{C95C9C1E-4D2D-4E86-BB5D-8EDE442B84AB}"/>
  </w:font>
  <w:font w:name="Calibri">
    <w:panose1 w:val="020F0502020204030204"/>
    <w:charset w:val="00"/>
    <w:family w:val="swiss"/>
    <w:pitch w:val="variable"/>
    <w:sig w:usb0="E4002EFF" w:usb1="C000247B" w:usb2="00000009" w:usb3="00000000" w:csb0="000001FF" w:csb1="00000000"/>
    <w:embedRegular r:id="rId6" w:fontKey="{4EEEDE4D-427D-4784-AC21-5D4CD29F579F}"/>
    <w:embedBold r:id="rId7" w:fontKey="{B47495EE-1C8F-4FA8-AA83-227F1B94BD8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494C77A0-3E60-4080-8E54-608787F356A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1" w14:textId="77777777" w:rsidR="00416D7A" w:rsidRDefault="00416D7A">
    <w:pPr>
      <w:pStyle w:val="Normal2"/>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F" w14:textId="56676A67" w:rsidR="00416D7A" w:rsidRDefault="00A13249">
    <w:pPr>
      <w:pStyle w:val="Normal2"/>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sidR="004A0B36">
      <w:rPr>
        <w:color w:val="000000"/>
      </w:rPr>
      <w:fldChar w:fldCharType="separate"/>
    </w:r>
    <w:r w:rsidR="004A0B36">
      <w:rPr>
        <w:noProof/>
        <w:color w:val="000000"/>
      </w:rPr>
      <w:t>1</w:t>
    </w:r>
    <w:r>
      <w:rPr>
        <w:color w:val="000000"/>
      </w:rPr>
      <w:fldChar w:fldCharType="end"/>
    </w:r>
  </w:p>
  <w:p w14:paraId="00000030" w14:textId="77777777" w:rsidR="00416D7A" w:rsidRDefault="00416D7A">
    <w:pPr>
      <w:pStyle w:val="Normal2"/>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2" w14:textId="77777777" w:rsidR="00416D7A" w:rsidRDefault="00416D7A">
    <w:pPr>
      <w:pStyle w:val="Normal2"/>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2B6895" w14:textId="77777777" w:rsidR="00A13249" w:rsidRDefault="00A13249">
      <w:r>
        <w:separator/>
      </w:r>
    </w:p>
  </w:footnote>
  <w:footnote w:type="continuationSeparator" w:id="0">
    <w:p w14:paraId="09D14E63" w14:textId="77777777" w:rsidR="00A13249" w:rsidRDefault="00A13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E" w14:textId="77777777" w:rsidR="00416D7A" w:rsidRDefault="00416D7A">
    <w:pPr>
      <w:pStyle w:val="Normal2"/>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B" w14:textId="77777777" w:rsidR="00416D7A" w:rsidRDefault="00A13249">
    <w:pPr>
      <w:pStyle w:val="Normal2"/>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0154D0C4" wp14:editId="07777777">
          <wp:simplePos x="0" y="0"/>
          <wp:positionH relativeFrom="column">
            <wp:posOffset>4114800</wp:posOffset>
          </wp:positionH>
          <wp:positionV relativeFrom="paragraph">
            <wp:posOffset>-304780</wp:posOffset>
          </wp:positionV>
          <wp:extent cx="1547842" cy="997267"/>
          <wp:effectExtent l="0" t="0" r="0" b="0"/>
          <wp:wrapSquare wrapText="bothSides" distT="114300" distB="114300" distL="114300" distR="114300"/>
          <wp:docPr id="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0000002C" w14:textId="77777777" w:rsidR="00416D7A" w:rsidRDefault="00A13249">
    <w:pPr>
      <w:pStyle w:val="Normal2"/>
      <w:ind w:left="-120"/>
      <w:jc w:val="both"/>
      <w:rPr>
        <w:rFonts w:ascii="Roboto" w:eastAsia="Roboto" w:hAnsi="Roboto" w:cs="Roboto"/>
        <w:sz w:val="22"/>
        <w:szCs w:val="22"/>
      </w:rPr>
    </w:pPr>
    <w:r>
      <w:rPr>
        <w:rFonts w:ascii="Roboto" w:eastAsia="Roboto" w:hAnsi="Roboto" w:cs="Roboto"/>
        <w:b/>
        <w:sz w:val="40"/>
        <w:szCs w:val="40"/>
      </w:rPr>
      <w:t>NOTA DE PRENSA</w:t>
    </w:r>
    <w:r>
      <w:rPr>
        <w:rFonts w:ascii="Roboto" w:eastAsia="Roboto" w:hAnsi="Roboto" w:cs="Roboto"/>
        <w:sz w:val="22"/>
        <w:szCs w:val="22"/>
      </w:rPr>
      <w:t xml:space="preserve"> </w:t>
    </w:r>
  </w:p>
  <w:p w14:paraId="0000002D" w14:textId="77777777" w:rsidR="00416D7A" w:rsidRDefault="00416D7A">
    <w:pPr>
      <w:pStyle w:val="Normal2"/>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A" w14:textId="77777777" w:rsidR="00416D7A" w:rsidRDefault="00416D7A">
    <w:pPr>
      <w:pStyle w:val="Normal2"/>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E610CA"/>
    <w:multiLevelType w:val="multilevel"/>
    <w:tmpl w:val="FFFFFFFF"/>
    <w:lvl w:ilvl="0">
      <w:start w:val="1"/>
      <w:numFmt w:val="bullet"/>
      <w:lvlText w:val="●"/>
      <w:lvlJc w:val="left"/>
      <w:pPr>
        <w:ind w:left="720" w:hanging="360"/>
      </w:pPr>
      <w:rPr>
        <w:rFonts w:ascii="Verdana" w:eastAsia="Verdana" w:hAnsi="Verdana" w:cs="Verdana"/>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4997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D7A"/>
    <w:rsid w:val="002E2A7B"/>
    <w:rsid w:val="00416D7A"/>
    <w:rsid w:val="004A0B36"/>
    <w:rsid w:val="00A13249"/>
    <w:rsid w:val="00F27715"/>
    <w:rsid w:val="233229A1"/>
    <w:rsid w:val="34F5BB07"/>
    <w:rsid w:val="42A9260B"/>
    <w:rsid w:val="6D501DF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28F6D"/>
  <w15:docId w15:val="{AD3E9778-E57E-4018-B19E-A9519CB8B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rPr>
      <w:b/>
      <w:sz w:val="48"/>
      <w:szCs w:val="48"/>
    </w:rPr>
  </w:style>
  <w:style w:type="paragraph" w:customStyle="1" w:styleId="heading20">
    <w:name w:val="heading 20"/>
    <w:basedOn w:val="Normal0"/>
    <w:next w:val="Normal0"/>
    <w:pPr>
      <w:keepNext/>
      <w:keepLines/>
      <w:spacing w:before="360" w:after="80"/>
    </w:pPr>
    <w:rPr>
      <w:b/>
      <w:sz w:val="36"/>
      <w:szCs w:val="36"/>
    </w:rPr>
  </w:style>
  <w:style w:type="paragraph" w:customStyle="1" w:styleId="heading30">
    <w:name w:val="heading 30"/>
    <w:basedOn w:val="Normal0"/>
    <w:next w:val="Normal0"/>
    <w:pPr>
      <w:keepNext/>
      <w:keepLines/>
      <w:spacing w:before="280" w:after="80"/>
    </w:pPr>
    <w:rPr>
      <w:b/>
      <w:sz w:val="28"/>
      <w:szCs w:val="28"/>
    </w:rPr>
  </w:style>
  <w:style w:type="paragraph" w:customStyle="1" w:styleId="heading40">
    <w:name w:val="heading 40"/>
    <w:basedOn w:val="Normal0"/>
    <w:next w:val="Normal0"/>
    <w:pPr>
      <w:keepNext/>
      <w:keepLines/>
      <w:spacing w:before="240" w:after="40"/>
    </w:pPr>
    <w:rPr>
      <w:b/>
    </w:rPr>
  </w:style>
  <w:style w:type="paragraph" w:customStyle="1" w:styleId="heading50">
    <w:name w:val="heading 50"/>
    <w:basedOn w:val="Normal0"/>
    <w:next w:val="Normal0"/>
    <w:pPr>
      <w:keepNext/>
      <w:keepLines/>
      <w:spacing w:before="220" w:after="40"/>
    </w:pPr>
    <w:rPr>
      <w:b/>
      <w:sz w:val="22"/>
      <w:szCs w:val="22"/>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style>
  <w:style w:type="table" w:customStyle="1" w:styleId="NormalTable1">
    <w:name w:val="Normal Table1"/>
    <w:tblPr>
      <w:tblCellMar>
        <w:top w:w="0" w:type="dxa"/>
        <w:left w:w="0" w:type="dxa"/>
        <w:bottom w:w="0" w:type="dxa"/>
        <w:right w:w="0" w:type="dxa"/>
      </w:tblCellMar>
    </w:tblPr>
  </w:style>
  <w:style w:type="paragraph" w:customStyle="1" w:styleId="heading11">
    <w:name w:val="heading 11"/>
    <w:basedOn w:val="Normal1"/>
    <w:next w:val="Normal1"/>
    <w:rPr>
      <w:b/>
      <w:sz w:val="48"/>
      <w:szCs w:val="48"/>
    </w:rPr>
  </w:style>
  <w:style w:type="paragraph" w:customStyle="1" w:styleId="heading21">
    <w:name w:val="heading 21"/>
    <w:basedOn w:val="Normal1"/>
    <w:next w:val="Normal1"/>
    <w:pPr>
      <w:keepNext/>
      <w:keepLines/>
      <w:spacing w:before="360" w:after="80"/>
    </w:pPr>
    <w:rPr>
      <w:b/>
      <w:sz w:val="36"/>
      <w:szCs w:val="36"/>
    </w:rPr>
  </w:style>
  <w:style w:type="paragraph" w:customStyle="1" w:styleId="heading31">
    <w:name w:val="heading 31"/>
    <w:basedOn w:val="Normal1"/>
    <w:next w:val="Normal1"/>
    <w:pPr>
      <w:keepNext/>
      <w:keepLines/>
      <w:spacing w:before="280" w:after="80"/>
    </w:pPr>
    <w:rPr>
      <w:b/>
      <w:sz w:val="28"/>
      <w:szCs w:val="28"/>
    </w:rPr>
  </w:style>
  <w:style w:type="paragraph" w:customStyle="1" w:styleId="heading41">
    <w:name w:val="heading 41"/>
    <w:basedOn w:val="Normal1"/>
    <w:next w:val="Normal1"/>
    <w:pPr>
      <w:keepNext/>
      <w:keepLines/>
      <w:spacing w:before="240" w:after="40"/>
    </w:pPr>
    <w:rPr>
      <w:b/>
    </w:rPr>
  </w:style>
  <w:style w:type="paragraph" w:customStyle="1" w:styleId="heading51">
    <w:name w:val="heading 51"/>
    <w:basedOn w:val="Normal1"/>
    <w:next w:val="Normal1"/>
    <w:pPr>
      <w:keepNext/>
      <w:keepLines/>
      <w:spacing w:before="220" w:after="40"/>
    </w:pPr>
    <w:rPr>
      <w:b/>
      <w:sz w:val="22"/>
      <w:szCs w:val="22"/>
    </w:rPr>
  </w:style>
  <w:style w:type="paragraph" w:customStyle="1" w:styleId="heading61">
    <w:name w:val="heading 61"/>
    <w:basedOn w:val="Normal1"/>
    <w:next w:val="Normal1"/>
    <w:pPr>
      <w:keepNext/>
      <w:keepLines/>
      <w:spacing w:before="200" w:after="40"/>
    </w:pPr>
    <w:rPr>
      <w:b/>
      <w:sz w:val="20"/>
      <w:szCs w:val="20"/>
    </w:rPr>
  </w:style>
  <w:style w:type="paragraph" w:customStyle="1" w:styleId="Title1">
    <w:name w:val="Title1"/>
    <w:basedOn w:val="Normal1"/>
    <w:next w:val="Normal1"/>
    <w:pPr>
      <w:keepNext/>
      <w:keepLines/>
      <w:spacing w:before="480" w:after="120"/>
    </w:pPr>
    <w:rPr>
      <w:b/>
      <w:sz w:val="72"/>
      <w:szCs w:val="72"/>
    </w:rPr>
  </w:style>
  <w:style w:type="paragraph" w:customStyle="1" w:styleId="Normal2">
    <w:name w:val="Normal2"/>
    <w:qFormat/>
  </w:style>
  <w:style w:type="paragraph" w:customStyle="1" w:styleId="heading12">
    <w:name w:val="heading 12"/>
    <w:basedOn w:val="Normal2"/>
    <w:next w:val="Normal2"/>
    <w:uiPriority w:val="9"/>
    <w:qFormat/>
    <w:pPr>
      <w:outlineLvl w:val="0"/>
    </w:pPr>
    <w:rPr>
      <w:b/>
      <w:sz w:val="48"/>
      <w:szCs w:val="48"/>
    </w:rPr>
  </w:style>
  <w:style w:type="paragraph" w:customStyle="1" w:styleId="heading22">
    <w:name w:val="heading 22"/>
    <w:basedOn w:val="Normal2"/>
    <w:next w:val="Normal2"/>
    <w:uiPriority w:val="9"/>
    <w:semiHidden/>
    <w:unhideWhenUsed/>
    <w:qFormat/>
    <w:pPr>
      <w:keepNext/>
      <w:keepLines/>
      <w:spacing w:before="360" w:after="80"/>
      <w:outlineLvl w:val="1"/>
    </w:pPr>
    <w:rPr>
      <w:b/>
      <w:sz w:val="36"/>
      <w:szCs w:val="36"/>
    </w:rPr>
  </w:style>
  <w:style w:type="paragraph" w:customStyle="1" w:styleId="heading32">
    <w:name w:val="heading 32"/>
    <w:basedOn w:val="Normal2"/>
    <w:next w:val="Normal2"/>
    <w:uiPriority w:val="9"/>
    <w:semiHidden/>
    <w:unhideWhenUsed/>
    <w:qFormat/>
    <w:pPr>
      <w:keepNext/>
      <w:keepLines/>
      <w:spacing w:before="280" w:after="80"/>
      <w:outlineLvl w:val="2"/>
    </w:pPr>
    <w:rPr>
      <w:b/>
      <w:sz w:val="28"/>
      <w:szCs w:val="28"/>
    </w:rPr>
  </w:style>
  <w:style w:type="paragraph" w:customStyle="1" w:styleId="heading42">
    <w:name w:val="heading 42"/>
    <w:basedOn w:val="Normal2"/>
    <w:next w:val="Normal2"/>
    <w:uiPriority w:val="9"/>
    <w:semiHidden/>
    <w:unhideWhenUsed/>
    <w:qFormat/>
    <w:pPr>
      <w:keepNext/>
      <w:keepLines/>
      <w:spacing w:before="240" w:after="40"/>
      <w:outlineLvl w:val="3"/>
    </w:pPr>
    <w:rPr>
      <w:b/>
    </w:rPr>
  </w:style>
  <w:style w:type="paragraph" w:customStyle="1" w:styleId="heading52">
    <w:name w:val="heading 52"/>
    <w:basedOn w:val="Normal2"/>
    <w:next w:val="Normal2"/>
    <w:uiPriority w:val="9"/>
    <w:semiHidden/>
    <w:unhideWhenUsed/>
    <w:qFormat/>
    <w:pPr>
      <w:keepNext/>
      <w:keepLines/>
      <w:spacing w:before="220" w:after="40"/>
      <w:outlineLvl w:val="4"/>
    </w:pPr>
    <w:rPr>
      <w:b/>
      <w:sz w:val="22"/>
      <w:szCs w:val="22"/>
    </w:rPr>
  </w:style>
  <w:style w:type="paragraph" w:customStyle="1" w:styleId="heading62">
    <w:name w:val="heading 62"/>
    <w:basedOn w:val="Normal2"/>
    <w:next w:val="Normal2"/>
    <w:uiPriority w:val="9"/>
    <w:semiHidden/>
    <w:unhideWhenUsed/>
    <w:qFormat/>
    <w:pPr>
      <w:keepNext/>
      <w:keepLines/>
      <w:spacing w:before="200" w:after="40"/>
      <w:outlineLvl w:val="5"/>
    </w:pPr>
    <w:rPr>
      <w:b/>
      <w:sz w:val="20"/>
      <w:szCs w:val="20"/>
    </w:rPr>
  </w:style>
  <w:style w:type="table" w:customStyle="1" w:styleId="NormalTable2">
    <w:name w:val="Normal Table2"/>
    <w:uiPriority w:val="99"/>
    <w:semiHidden/>
    <w:unhideWhenUsed/>
    <w:tblPr>
      <w:tblInd w:w="0" w:type="dxa"/>
      <w:tblCellMar>
        <w:top w:w="0" w:type="dxa"/>
        <w:left w:w="108" w:type="dxa"/>
        <w:bottom w:w="0" w:type="dxa"/>
        <w:right w:w="108" w:type="dxa"/>
      </w:tblCellMar>
    </w:tblPr>
  </w:style>
  <w:style w:type="paragraph" w:customStyle="1" w:styleId="Title2">
    <w:name w:val="Title2"/>
    <w:basedOn w:val="Normal2"/>
    <w:next w:val="Normal2"/>
    <w:uiPriority w:val="10"/>
    <w:qFormat/>
    <w:pPr>
      <w:keepNext/>
      <w:keepLines/>
      <w:spacing w:before="480" w:after="120"/>
    </w:pPr>
    <w:rPr>
      <w:b/>
      <w:sz w:val="72"/>
      <w:szCs w:val="72"/>
    </w:r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rsid w:val="009755B3"/>
    <w:tblPr>
      <w:tblCellMar>
        <w:top w:w="0" w:type="dxa"/>
        <w:left w:w="0" w:type="dxa"/>
        <w:bottom w:w="0" w:type="dxa"/>
        <w:right w:w="0" w:type="dxa"/>
      </w:tblCellMar>
    </w:tblPr>
  </w:style>
  <w:style w:type="table" w:customStyle="1" w:styleId="TableNormal2">
    <w:name w:val="Table Normal2"/>
    <w:rsid w:val="00A46C3D"/>
    <w:tblPr>
      <w:tblCellMar>
        <w:top w:w="0" w:type="dxa"/>
        <w:left w:w="0" w:type="dxa"/>
        <w:bottom w:w="0" w:type="dxa"/>
        <w:right w:w="0" w:type="dxa"/>
      </w:tblCellMar>
    </w:tblPr>
  </w:style>
  <w:style w:type="table" w:customStyle="1" w:styleId="NormalTable00">
    <w:name w:val="Normal Table00"/>
    <w:tblPr>
      <w:tblCellMar>
        <w:top w:w="0" w:type="dxa"/>
        <w:left w:w="0" w:type="dxa"/>
        <w:bottom w:w="0" w:type="dxa"/>
        <w:right w:w="0" w:type="dxa"/>
      </w:tblCellMar>
    </w:tblPr>
  </w:style>
  <w:style w:type="paragraph" w:styleId="Revisin">
    <w:name w:val="Revision"/>
    <w:hidden/>
    <w:uiPriority w:val="99"/>
    <w:semiHidden/>
    <w:rsid w:val="007858B3"/>
  </w:style>
  <w:style w:type="character" w:styleId="Hipervnculo">
    <w:name w:val="Hyperlink"/>
    <w:basedOn w:val="Fuentedeprrafopredeter"/>
    <w:uiPriority w:val="99"/>
    <w:unhideWhenUsed/>
    <w:rsid w:val="00615075"/>
    <w:rPr>
      <w:color w:val="0000FF"/>
      <w:u w:val="single"/>
    </w:rPr>
  </w:style>
  <w:style w:type="paragraph" w:styleId="Subttulo">
    <w:name w:val="Subtitle"/>
    <w:basedOn w:val="Normal2"/>
    <w:next w:val="Normal2"/>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2"/>
    <w:link w:val="EncabezadoCar"/>
    <w:uiPriority w:val="99"/>
    <w:semiHidden/>
    <w:unhideWhenUsed/>
    <w:rsid w:val="00C215DA"/>
    <w:pPr>
      <w:tabs>
        <w:tab w:val="center" w:pos="4252"/>
        <w:tab w:val="right" w:pos="8504"/>
      </w:tabs>
    </w:pPr>
  </w:style>
  <w:style w:type="character" w:customStyle="1" w:styleId="EncabezadoCar">
    <w:name w:val="Encabezado Car"/>
    <w:basedOn w:val="Fuentedeprrafopredeter"/>
    <w:link w:val="Encabezado"/>
    <w:uiPriority w:val="99"/>
    <w:semiHidden/>
    <w:rsid w:val="00C215DA"/>
  </w:style>
  <w:style w:type="paragraph" w:styleId="Piedepgina">
    <w:name w:val="footer"/>
    <w:basedOn w:val="Normal2"/>
    <w:link w:val="PiedepginaCar"/>
    <w:uiPriority w:val="99"/>
    <w:semiHidden/>
    <w:unhideWhenUsed/>
    <w:rsid w:val="00C215DA"/>
    <w:pPr>
      <w:tabs>
        <w:tab w:val="center" w:pos="4252"/>
        <w:tab w:val="right" w:pos="8504"/>
      </w:tabs>
    </w:pPr>
  </w:style>
  <w:style w:type="character" w:customStyle="1" w:styleId="PiedepginaCar">
    <w:name w:val="Pie de página Car"/>
    <w:basedOn w:val="Fuentedeprrafopredeter"/>
    <w:link w:val="Piedepgina"/>
    <w:uiPriority w:val="99"/>
    <w:semiHidden/>
    <w:rsid w:val="00C215DA"/>
  </w:style>
  <w:style w:type="character" w:styleId="Hipervnculovisitado">
    <w:name w:val="FollowedHyperlink"/>
    <w:basedOn w:val="Fuentedeprrafopredeter"/>
    <w:uiPriority w:val="99"/>
    <w:semiHidden/>
    <w:unhideWhenUsed/>
    <w:rsid w:val="00615075"/>
    <w:rPr>
      <w:color w:val="800080" w:themeColor="followedHyperlink"/>
      <w:u w:val="single"/>
    </w:rPr>
  </w:style>
  <w:style w:type="character" w:styleId="Textoennegrita">
    <w:name w:val="Strong"/>
    <w:basedOn w:val="Fuentedeprrafopredeter"/>
    <w:uiPriority w:val="22"/>
    <w:qFormat/>
    <w:rsid w:val="001466CE"/>
    <w:rPr>
      <w:b/>
      <w:bCs/>
    </w:rPr>
  </w:style>
  <w:style w:type="character" w:styleId="Refdecomentario">
    <w:name w:val="annotation reference"/>
    <w:basedOn w:val="Fuentedeprrafopredeter"/>
    <w:uiPriority w:val="99"/>
    <w:semiHidden/>
    <w:unhideWhenUsed/>
    <w:rsid w:val="003A12A1"/>
    <w:rPr>
      <w:sz w:val="16"/>
      <w:szCs w:val="16"/>
    </w:rPr>
  </w:style>
  <w:style w:type="paragraph" w:styleId="Textocomentario">
    <w:name w:val="annotation text"/>
    <w:basedOn w:val="Normal2"/>
    <w:link w:val="TextocomentarioCar"/>
    <w:uiPriority w:val="99"/>
    <w:unhideWhenUsed/>
    <w:rsid w:val="003A12A1"/>
    <w:rPr>
      <w:sz w:val="20"/>
      <w:szCs w:val="20"/>
    </w:rPr>
  </w:style>
  <w:style w:type="character" w:customStyle="1" w:styleId="TextocomentarioCar">
    <w:name w:val="Texto comentario Car"/>
    <w:basedOn w:val="Fuentedeprrafopredeter"/>
    <w:link w:val="Textocomentario"/>
    <w:uiPriority w:val="99"/>
    <w:rsid w:val="003A12A1"/>
    <w:rPr>
      <w:sz w:val="20"/>
      <w:szCs w:val="20"/>
    </w:rPr>
  </w:style>
  <w:style w:type="paragraph" w:styleId="Asuntodelcomentario">
    <w:name w:val="annotation subject"/>
    <w:basedOn w:val="Textocomentario"/>
    <w:next w:val="Textocomentario"/>
    <w:link w:val="AsuntodelcomentarioCar"/>
    <w:uiPriority w:val="99"/>
    <w:semiHidden/>
    <w:unhideWhenUsed/>
    <w:rsid w:val="003A12A1"/>
    <w:rPr>
      <w:b/>
      <w:bCs/>
    </w:rPr>
  </w:style>
  <w:style w:type="character" w:customStyle="1" w:styleId="AsuntodelcomentarioCar">
    <w:name w:val="Asunto del comentario Car"/>
    <w:basedOn w:val="TextocomentarioCar"/>
    <w:link w:val="Asuntodelcomentario"/>
    <w:uiPriority w:val="99"/>
    <w:semiHidden/>
    <w:rsid w:val="003A12A1"/>
    <w:rPr>
      <w:b/>
      <w:bCs/>
      <w:sz w:val="20"/>
      <w:szCs w:val="20"/>
    </w:rPr>
  </w:style>
  <w:style w:type="table" w:customStyle="1" w:styleId="TableNormal1">
    <w:name w:val="Table Normal1"/>
    <w:rsid w:val="00FB6A16"/>
    <w:tblPr>
      <w:tblCellMar>
        <w:top w:w="0" w:type="dxa"/>
        <w:left w:w="0" w:type="dxa"/>
        <w:bottom w:w="0" w:type="dxa"/>
        <w:right w:w="0" w:type="dxa"/>
      </w:tblCellMar>
    </w:tblPr>
  </w:style>
  <w:style w:type="paragraph" w:customStyle="1" w:styleId="Subtitle0">
    <w:name w:val="Subtitle0"/>
    <w:basedOn w:val="Normal2"/>
    <w:next w:val="Normal2"/>
    <w:pPr>
      <w:keepNext/>
      <w:keepLines/>
      <w:spacing w:before="360" w:after="80"/>
    </w:pPr>
    <w:rPr>
      <w:rFonts w:ascii="Georgia" w:eastAsia="Georgia" w:hAnsi="Georgia" w:cs="Georgia"/>
      <w:i/>
      <w:color w:val="666666"/>
      <w:sz w:val="48"/>
      <w:szCs w:val="48"/>
    </w:rPr>
  </w:style>
  <w:style w:type="paragraph" w:customStyle="1" w:styleId="Subtitle1">
    <w:name w:val="Subtitle1"/>
    <w:basedOn w:val="Normal2"/>
    <w:next w:val="Normal2"/>
    <w:pPr>
      <w:keepNext/>
      <w:keepLines/>
      <w:spacing w:before="360" w:after="80"/>
    </w:pPr>
    <w:rPr>
      <w:rFonts w:ascii="Georgia" w:eastAsia="Georgia" w:hAnsi="Georgia" w:cs="Georgia"/>
      <w:i/>
      <w:color w:val="666666"/>
      <w:sz w:val="48"/>
      <w:szCs w:val="48"/>
    </w:rPr>
  </w:style>
  <w:style w:type="paragraph" w:customStyle="1" w:styleId="Subtitle2">
    <w:name w:val="Subtitle2"/>
    <w:basedOn w:val="Normal2"/>
    <w:next w:val="Normal2"/>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oe.es/buscar/doc.php?id=BOE-A-2023-14735"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enac.es/" TargetMode="External"/><Relationship Id="rId17" Type="http://schemas.openxmlformats.org/officeDocument/2006/relationships/hyperlink" Target="mailto:evamc@varenga.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oe.es/buscar/doc.php?id=BOE-A-2023-14735"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nac.es"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TzavI/MR0o+7ZjJm01/GE7KizA==">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</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3C6F6F-BFBC-4909-B42E-EB7D7EEAC15D}">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2.xml><?xml version="1.0" encoding="utf-8"?>
<ds:datastoreItem xmlns:ds="http://schemas.openxmlformats.org/officeDocument/2006/customXml" ds:itemID="{04429246-9BBC-40BE-B297-BA9C81923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5553AB98-017B-4D1D-A3C2-4434CE3A9E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832</Words>
  <Characters>4579</Characters>
  <Application>Microsoft Office Word</Application>
  <DocSecurity>0</DocSecurity>
  <Lines>38</Lines>
  <Paragraphs>10</Paragraphs>
  <ScaleCrop>false</ScaleCrop>
  <Company/>
  <LinksUpToDate>false</LinksUpToDate>
  <CharactersWithSpaces>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Gonzalez Fernandez</dc:creator>
  <cp:lastModifiedBy>Denise Diaz Pozo</cp:lastModifiedBy>
  <cp:revision>3</cp:revision>
  <dcterms:created xsi:type="dcterms:W3CDTF">2024-05-17T08:38:00Z</dcterms:created>
  <dcterms:modified xsi:type="dcterms:W3CDTF">2024-05-30T11:26:00Z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