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AC000" w14:textId="77777777" w:rsidR="00F44992" w:rsidRDefault="00F44992">
      <w:pPr>
        <w:jc w:val="center"/>
        <w:rPr>
          <w:rFonts w:ascii="Roboto" w:eastAsia="Roboto" w:hAnsi="Roboto" w:cs="Roboto"/>
          <w:b/>
          <w:sz w:val="34"/>
          <w:szCs w:val="34"/>
        </w:rPr>
      </w:pPr>
    </w:p>
    <w:p w14:paraId="224AC001" w14:textId="77777777" w:rsidR="00F44992" w:rsidRDefault="00F44992">
      <w:pPr>
        <w:rPr>
          <w:rFonts w:ascii="Roboto" w:eastAsia="Roboto" w:hAnsi="Roboto" w:cs="Roboto"/>
          <w:b/>
          <w:sz w:val="20"/>
          <w:szCs w:val="20"/>
        </w:rPr>
      </w:pPr>
    </w:p>
    <w:p w14:paraId="224AC002" w14:textId="77777777" w:rsidR="00F44992" w:rsidRDefault="00F44992">
      <w:pPr>
        <w:rPr>
          <w:rFonts w:ascii="Roboto" w:eastAsia="Roboto" w:hAnsi="Roboto" w:cs="Roboto"/>
          <w:b/>
          <w:sz w:val="20"/>
          <w:szCs w:val="20"/>
          <w:u w:val="single"/>
        </w:rPr>
      </w:pPr>
    </w:p>
    <w:p w14:paraId="224AC003" w14:textId="77777777" w:rsidR="00F44992" w:rsidRPr="0057157C" w:rsidRDefault="00E908F3">
      <w:pPr>
        <w:spacing w:after="160" w:line="259" w:lineRule="auto"/>
        <w:jc w:val="center"/>
        <w:rPr>
          <w:rFonts w:ascii="Roboto" w:eastAsia="Roboto" w:hAnsi="Roboto" w:cs="Roboto"/>
          <w:b/>
          <w:sz w:val="50"/>
          <w:szCs w:val="50"/>
        </w:rPr>
      </w:pPr>
      <w:r w:rsidRPr="0057157C">
        <w:rPr>
          <w:rFonts w:ascii="Roboto" w:eastAsia="Aptos" w:hAnsi="Roboto" w:cs="Aptos"/>
          <w:b/>
          <w:sz w:val="34"/>
          <w:szCs w:val="34"/>
        </w:rPr>
        <w:t xml:space="preserve">El MITERD requiere inspección acreditada para los sistemas de control volumétrico para aprovechamientos de agua y para vertidos </w:t>
      </w:r>
    </w:p>
    <w:p w14:paraId="224AC004" w14:textId="77777777" w:rsidR="00F44992" w:rsidRDefault="00E908F3">
      <w:pPr>
        <w:numPr>
          <w:ilvl w:val="0"/>
          <w:numId w:val="1"/>
        </w:numPr>
        <w:spacing w:after="160" w:line="259" w:lineRule="auto"/>
        <w:jc w:val="both"/>
        <w:rPr>
          <w:rFonts w:ascii="Roboto" w:eastAsia="Roboto" w:hAnsi="Roboto" w:cs="Roboto"/>
          <w:b/>
        </w:rPr>
      </w:pPr>
      <w:r>
        <w:rPr>
          <w:rFonts w:ascii="Roboto" w:eastAsia="Roboto" w:hAnsi="Roboto" w:cs="Roboto"/>
          <w:b/>
          <w:sz w:val="20"/>
          <w:szCs w:val="20"/>
        </w:rPr>
        <w:t>E</w:t>
      </w:r>
      <w:r>
        <w:rPr>
          <w:rFonts w:ascii="Roboto" w:eastAsia="Roboto" w:hAnsi="Roboto" w:cs="Roboto"/>
          <w:b/>
          <w:sz w:val="22"/>
          <w:szCs w:val="22"/>
        </w:rPr>
        <w:t xml:space="preserve">s una muestra más de la confianza depositada por la Administración en la acreditación de ENAC para alcanzar los objetivos de sus políticas públicas, en este caso en materia de control de los volúmenes de agua extraídos, vertidos y reutilizados, en aras de promover el uso sostenible y responsable de los recursos hídricos. </w:t>
      </w:r>
    </w:p>
    <w:p w14:paraId="224AC005" w14:textId="77777777" w:rsidR="00F44992" w:rsidRDefault="00F44992">
      <w:pPr>
        <w:ind w:left="720"/>
        <w:jc w:val="both"/>
        <w:rPr>
          <w:rFonts w:ascii="Roboto" w:eastAsia="Roboto" w:hAnsi="Roboto" w:cs="Roboto"/>
          <w:b/>
          <w:sz w:val="20"/>
          <w:szCs w:val="20"/>
        </w:rPr>
      </w:pPr>
    </w:p>
    <w:p w14:paraId="224AC006" w14:textId="77777777" w:rsidR="00F44992" w:rsidRDefault="00E908F3">
      <w:pPr>
        <w:jc w:val="both"/>
        <w:rPr>
          <w:rFonts w:ascii="Roboto" w:eastAsia="Roboto" w:hAnsi="Roboto" w:cs="Roboto"/>
          <w:sz w:val="22"/>
          <w:szCs w:val="22"/>
        </w:rPr>
      </w:pPr>
      <w:r>
        <w:rPr>
          <w:rFonts w:ascii="Roboto" w:eastAsia="Roboto" w:hAnsi="Roboto" w:cs="Roboto"/>
          <w:sz w:val="22"/>
          <w:szCs w:val="22"/>
        </w:rPr>
        <w:t xml:space="preserve">Madrid, 13 de noviembre de 2024.- El </w:t>
      </w:r>
      <w:r>
        <w:rPr>
          <w:rFonts w:ascii="Roboto" w:eastAsia="Roboto" w:hAnsi="Roboto" w:cs="Roboto"/>
          <w:b/>
          <w:sz w:val="22"/>
          <w:szCs w:val="22"/>
        </w:rPr>
        <w:t>Ministerio para la Transición Ecológica y el Reto Demográfico</w:t>
      </w:r>
      <w:r>
        <w:rPr>
          <w:rFonts w:ascii="Roboto" w:eastAsia="Roboto" w:hAnsi="Roboto" w:cs="Roboto"/>
          <w:sz w:val="22"/>
          <w:szCs w:val="22"/>
        </w:rPr>
        <w:t xml:space="preserve"> ha publicado recientemente la Orden </w:t>
      </w:r>
      <w:hyperlink r:id="rId11">
        <w:r>
          <w:rPr>
            <w:rFonts w:ascii="Roboto" w:eastAsia="Roboto" w:hAnsi="Roboto" w:cs="Roboto"/>
            <w:color w:val="467886"/>
            <w:sz w:val="22"/>
            <w:szCs w:val="22"/>
            <w:u w:val="single"/>
          </w:rPr>
          <w:t>TED/1191/2024</w:t>
        </w:r>
      </w:hyperlink>
      <w:r>
        <w:rPr>
          <w:rFonts w:ascii="Roboto" w:eastAsia="Roboto" w:hAnsi="Roboto" w:cs="Roboto"/>
          <w:sz w:val="22"/>
          <w:szCs w:val="22"/>
        </w:rPr>
        <w:t xml:space="preserve">, por la que se regulan los sistemas de control de los volúmenes de agua utilizados por los aprovechamientos de agua, los retornos y los vertidos al dominio público hidráulico, y en la que se contempla la realización de actividades de control periódico de estos sistemas que podrán ser realizadas por una </w:t>
      </w:r>
      <w:r>
        <w:rPr>
          <w:rFonts w:ascii="Roboto" w:eastAsia="Roboto" w:hAnsi="Roboto" w:cs="Roboto"/>
          <w:b/>
          <w:sz w:val="22"/>
          <w:szCs w:val="22"/>
        </w:rPr>
        <w:t>entidad colaboradora de la Administración Hidráulica, ECAH</w:t>
      </w:r>
      <w:r>
        <w:rPr>
          <w:rFonts w:ascii="Roboto" w:eastAsia="Roboto" w:hAnsi="Roboto" w:cs="Roboto"/>
          <w:sz w:val="22"/>
          <w:szCs w:val="22"/>
        </w:rPr>
        <w:t xml:space="preserve">, </w:t>
      </w:r>
      <w:r>
        <w:rPr>
          <w:rFonts w:ascii="Roboto" w:eastAsia="Roboto" w:hAnsi="Roboto" w:cs="Roboto"/>
          <w:b/>
          <w:sz w:val="22"/>
          <w:szCs w:val="22"/>
        </w:rPr>
        <w:t>por la comunidad de usuarios o por el titular del aprovechamiento o vertido</w:t>
      </w:r>
      <w:r>
        <w:rPr>
          <w:rFonts w:ascii="Roboto" w:eastAsia="Roboto" w:hAnsi="Roboto" w:cs="Roboto"/>
          <w:sz w:val="22"/>
          <w:szCs w:val="22"/>
        </w:rPr>
        <w:t>, siempre y cuando dispongan de la correspondiente acreditación de ENAC</w:t>
      </w:r>
      <w:sdt>
        <w:sdtPr>
          <w:tag w:val="goog_rdk_0"/>
          <w:id w:val="1488592937"/>
        </w:sdtPr>
        <w:sdtEndPr/>
        <w:sdtContent>
          <w:r>
            <w:rPr>
              <w:rFonts w:ascii="Roboto" w:eastAsia="Roboto" w:hAnsi="Roboto" w:cs="Roboto"/>
              <w:sz w:val="22"/>
              <w:szCs w:val="22"/>
            </w:rPr>
            <w:t xml:space="preserve">, la </w:t>
          </w:r>
          <w:hyperlink r:id="rId12" w:history="1">
            <w:r>
              <w:rPr>
                <w:rFonts w:ascii="Roboto" w:eastAsia="Roboto" w:hAnsi="Roboto" w:cs="Roboto"/>
                <w:sz w:val="22"/>
                <w:szCs w:val="22"/>
              </w:rPr>
              <w:t>Entidad Nacional de Acreditación</w:t>
            </w:r>
          </w:hyperlink>
          <w:r>
            <w:rPr>
              <w:rFonts w:ascii="Roboto" w:eastAsia="Roboto" w:hAnsi="Roboto" w:cs="Roboto"/>
              <w:sz w:val="22"/>
              <w:szCs w:val="22"/>
            </w:rPr>
            <w:t>,</w:t>
          </w:r>
        </w:sdtContent>
      </w:sdt>
      <w:r>
        <w:rPr>
          <w:rFonts w:ascii="Roboto" w:eastAsia="Roboto" w:hAnsi="Roboto" w:cs="Roboto"/>
          <w:sz w:val="22"/>
          <w:szCs w:val="22"/>
        </w:rPr>
        <w:t xml:space="preserve"> conforme a la norma UNE-EN ISO/IEC 17020.   </w:t>
      </w:r>
    </w:p>
    <w:p w14:paraId="224AC007" w14:textId="77777777" w:rsidR="00F44992" w:rsidRDefault="00F44992">
      <w:pPr>
        <w:jc w:val="both"/>
        <w:rPr>
          <w:rFonts w:ascii="Roboto" w:eastAsia="Roboto" w:hAnsi="Roboto" w:cs="Roboto"/>
          <w:sz w:val="22"/>
          <w:szCs w:val="22"/>
        </w:rPr>
      </w:pPr>
    </w:p>
    <w:p w14:paraId="224AC008" w14:textId="2B9030B0" w:rsidR="00F44992" w:rsidRDefault="00E908F3">
      <w:pPr>
        <w:spacing w:after="160" w:line="259" w:lineRule="auto"/>
        <w:jc w:val="both"/>
        <w:rPr>
          <w:rFonts w:ascii="Roboto" w:eastAsia="Roboto" w:hAnsi="Roboto" w:cs="Roboto"/>
          <w:sz w:val="22"/>
          <w:szCs w:val="22"/>
        </w:rPr>
      </w:pPr>
      <w:r>
        <w:rPr>
          <w:rFonts w:ascii="Roboto" w:eastAsia="Roboto" w:hAnsi="Roboto" w:cs="Roboto"/>
          <w:sz w:val="22"/>
          <w:szCs w:val="22"/>
        </w:rPr>
        <w:t xml:space="preserve">Asimismo, se requiere que estos sistemas de control </w:t>
      </w:r>
      <w:r>
        <w:rPr>
          <w:rFonts w:ascii="Roboto" w:eastAsia="Roboto" w:hAnsi="Roboto" w:cs="Roboto"/>
          <w:b/>
          <w:sz w:val="22"/>
          <w:szCs w:val="22"/>
        </w:rPr>
        <w:t>sean revisados periódicamente</w:t>
      </w:r>
      <w:r>
        <w:rPr>
          <w:rFonts w:ascii="Roboto" w:eastAsia="Roboto" w:hAnsi="Roboto" w:cs="Roboto"/>
          <w:sz w:val="22"/>
          <w:szCs w:val="22"/>
        </w:rPr>
        <w:t xml:space="preserve"> por entidades acreditadas por ENAC.</w:t>
      </w:r>
    </w:p>
    <w:p w14:paraId="224AC00A" w14:textId="77777777" w:rsidR="00F44992" w:rsidRDefault="00E908F3">
      <w:pPr>
        <w:spacing w:after="160" w:line="259" w:lineRule="auto"/>
        <w:jc w:val="both"/>
        <w:rPr>
          <w:rFonts w:ascii="Roboto" w:eastAsia="Roboto" w:hAnsi="Roboto" w:cs="Roboto"/>
          <w:sz w:val="22"/>
          <w:szCs w:val="22"/>
        </w:rPr>
      </w:pPr>
      <w:r>
        <w:rPr>
          <w:rFonts w:ascii="Roboto" w:eastAsia="Roboto" w:hAnsi="Roboto" w:cs="Roboto"/>
          <w:sz w:val="22"/>
          <w:szCs w:val="22"/>
        </w:rPr>
        <w:t xml:space="preserve">La Orden TED/1191/2024 es una muestra más de la confianza depositada por el MITERD en la acreditación de ENAC para alcanzar los objetivos de sus políticas públicas, en este caso en materia de control de los volúmenes de agua extraídos, vertidos y reutilizados, en aras de promover el uso sostenible y responsable de los recursos hídricos. Esta Orden se suma, asimismo, al recientemente aprobado RD 1085/2024, por el que se aprueba el Reglamento de reutilización del agua y que establece que los ensayos para el control de la calidad de las aguas reutilizadas se llevarán a cabo por laboratorios acreditados por ENAC según la norma UNE-EN ISO/IEC 17025. </w:t>
      </w:r>
    </w:p>
    <w:p w14:paraId="224AC00B" w14:textId="77777777" w:rsidR="00F44992" w:rsidRDefault="00F44992">
      <w:pPr>
        <w:jc w:val="both"/>
        <w:rPr>
          <w:rFonts w:ascii="Roboto" w:eastAsia="Roboto" w:hAnsi="Roboto" w:cs="Roboto"/>
          <w:sz w:val="22"/>
          <w:szCs w:val="22"/>
        </w:rPr>
      </w:pPr>
    </w:p>
    <w:p w14:paraId="224AC00C" w14:textId="77777777" w:rsidR="00F44992" w:rsidRDefault="00E908F3">
      <w:pPr>
        <w:jc w:val="both"/>
        <w:rPr>
          <w:rFonts w:ascii="Roboto" w:eastAsia="Roboto" w:hAnsi="Roboto" w:cs="Roboto"/>
          <w:b/>
          <w:color w:val="E83544"/>
          <w:sz w:val="22"/>
          <w:szCs w:val="22"/>
        </w:rPr>
      </w:pPr>
      <w:r>
        <w:rPr>
          <w:rFonts w:ascii="Roboto" w:eastAsia="Roboto" w:hAnsi="Roboto" w:cs="Roboto"/>
          <w:b/>
          <w:color w:val="E83544"/>
          <w:sz w:val="22"/>
          <w:szCs w:val="22"/>
        </w:rPr>
        <w:t>Sobre ENAC</w:t>
      </w:r>
    </w:p>
    <w:p w14:paraId="224AC00D" w14:textId="77777777" w:rsidR="00F44992" w:rsidRDefault="00F44992">
      <w:pPr>
        <w:jc w:val="both"/>
        <w:rPr>
          <w:rFonts w:ascii="Roboto" w:eastAsia="Roboto" w:hAnsi="Roboto" w:cs="Roboto"/>
          <w:b/>
          <w:color w:val="E83544"/>
          <w:sz w:val="22"/>
          <w:szCs w:val="22"/>
        </w:rPr>
      </w:pPr>
    </w:p>
    <w:p w14:paraId="224AC00E" w14:textId="77777777" w:rsidR="00F44992" w:rsidRDefault="00E908F3">
      <w:pPr>
        <w:jc w:val="both"/>
        <w:rPr>
          <w:rFonts w:ascii="Roboto" w:eastAsia="Roboto" w:hAnsi="Roboto" w:cs="Roboto"/>
          <w:sz w:val="22"/>
          <w:szCs w:val="22"/>
        </w:rPr>
      </w:pPr>
      <w:r>
        <w:rPr>
          <w:rFonts w:ascii="Roboto" w:eastAsia="Roboto" w:hAnsi="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14:paraId="224AC00F" w14:textId="77777777" w:rsidR="00F44992" w:rsidRDefault="00F44992">
      <w:pPr>
        <w:jc w:val="both"/>
        <w:rPr>
          <w:rFonts w:ascii="Roboto" w:eastAsia="Roboto" w:hAnsi="Roboto" w:cs="Roboto"/>
          <w:sz w:val="22"/>
          <w:szCs w:val="22"/>
        </w:rPr>
      </w:pPr>
    </w:p>
    <w:p w14:paraId="224AC010" w14:textId="77777777" w:rsidR="00F44992" w:rsidRDefault="00E908F3">
      <w:pPr>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w:t>
      </w:r>
      <w:r>
        <w:rPr>
          <w:rFonts w:ascii="Roboto" w:eastAsia="Roboto" w:hAnsi="Roboto" w:cs="Roboto"/>
          <w:sz w:val="22"/>
          <w:szCs w:val="22"/>
        </w:rPr>
        <w:lastRenderedPageBreak/>
        <w:t>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224AC011" w14:textId="77777777" w:rsidR="00F44992" w:rsidRDefault="00E908F3">
      <w:pPr>
        <w:jc w:val="both"/>
        <w:rPr>
          <w:rFonts w:ascii="Roboto" w:eastAsia="Roboto" w:hAnsi="Roboto" w:cs="Roboto"/>
          <w:sz w:val="22"/>
          <w:szCs w:val="22"/>
        </w:rPr>
      </w:pPr>
      <w:r>
        <w:rPr>
          <w:rFonts w:ascii="Roboto" w:eastAsia="Roboto" w:hAnsi="Roboto" w:cs="Roboto"/>
          <w:sz w:val="22"/>
          <w:szCs w:val="22"/>
        </w:rPr>
        <w:t> </w:t>
      </w:r>
    </w:p>
    <w:p w14:paraId="224AC012" w14:textId="77777777" w:rsidR="00F44992" w:rsidRDefault="00E908F3">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224AC013" w14:textId="77777777" w:rsidR="00F44992" w:rsidRDefault="00F44992">
      <w:pPr>
        <w:jc w:val="both"/>
        <w:rPr>
          <w:rFonts w:ascii="Roboto" w:eastAsia="Roboto" w:hAnsi="Roboto" w:cs="Roboto"/>
          <w:sz w:val="22"/>
          <w:szCs w:val="22"/>
        </w:rPr>
      </w:pPr>
    </w:p>
    <w:p w14:paraId="224AC014" w14:textId="77777777" w:rsidR="00F44992" w:rsidRDefault="00F44992">
      <w:pPr>
        <w:jc w:val="both"/>
        <w:rPr>
          <w:rFonts w:ascii="Roboto" w:eastAsia="Roboto" w:hAnsi="Roboto" w:cs="Roboto"/>
          <w:sz w:val="22"/>
          <w:szCs w:val="22"/>
        </w:rPr>
      </w:pPr>
    </w:p>
    <w:p w14:paraId="224AC015" w14:textId="77777777" w:rsidR="00F44992" w:rsidRDefault="00E908F3">
      <w:pPr>
        <w:pBdr>
          <w:bottom w:val="single" w:sz="12" w:space="1" w:color="000000"/>
        </w:pBdr>
        <w:jc w:val="both"/>
        <w:rPr>
          <w:rFonts w:ascii="Roboto" w:eastAsia="Roboto" w:hAnsi="Roboto" w:cs="Roboto"/>
          <w:color w:val="E83544"/>
          <w:sz w:val="22"/>
          <w:szCs w:val="22"/>
        </w:rPr>
      </w:pPr>
      <w:hyperlink r:id="rId13">
        <w:r>
          <w:rPr>
            <w:rFonts w:ascii="Roboto" w:eastAsia="Roboto" w:hAnsi="Roboto" w:cs="Roboto"/>
            <w:color w:val="E83544"/>
            <w:sz w:val="22"/>
            <w:szCs w:val="22"/>
            <w:u w:val="single"/>
          </w:rPr>
          <w:t>www.enac.es</w:t>
        </w:r>
      </w:hyperlink>
      <w:r>
        <w:rPr>
          <w:rFonts w:ascii="Roboto" w:eastAsia="Roboto" w:hAnsi="Roboto" w:cs="Roboto"/>
          <w:color w:val="E83544"/>
          <w:sz w:val="22"/>
          <w:szCs w:val="22"/>
        </w:rPr>
        <w:t xml:space="preserve"> </w:t>
      </w:r>
    </w:p>
    <w:p w14:paraId="224AC016" w14:textId="77777777" w:rsidR="00F44992" w:rsidRDefault="00F44992">
      <w:pPr>
        <w:pBdr>
          <w:bottom w:val="single" w:sz="12" w:space="1" w:color="000000"/>
        </w:pBdr>
        <w:jc w:val="both"/>
        <w:rPr>
          <w:rFonts w:ascii="Roboto" w:eastAsia="Roboto" w:hAnsi="Roboto" w:cs="Roboto"/>
          <w:color w:val="E83544"/>
          <w:sz w:val="22"/>
          <w:szCs w:val="22"/>
        </w:rPr>
      </w:pPr>
    </w:p>
    <w:p w14:paraId="224AC017" w14:textId="77777777" w:rsidR="00F44992" w:rsidRDefault="00E908F3">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224AC01F" wp14:editId="224AC020">
            <wp:extent cx="309284" cy="309284"/>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9284" cy="309284"/>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224AC021" wp14:editId="224AC022">
            <wp:extent cx="304800" cy="3048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04800" cy="304800"/>
                    </a:xfrm>
                    <a:prstGeom prst="rect">
                      <a:avLst/>
                    </a:prstGeom>
                    <a:ln/>
                  </pic:spPr>
                </pic:pic>
              </a:graphicData>
            </a:graphic>
          </wp:inline>
        </w:drawing>
      </w:r>
    </w:p>
    <w:p w14:paraId="224AC018" w14:textId="77777777" w:rsidR="00F44992" w:rsidRDefault="00F44992">
      <w:pPr>
        <w:pBdr>
          <w:bottom w:val="single" w:sz="12" w:space="1" w:color="000000"/>
        </w:pBdr>
        <w:jc w:val="both"/>
        <w:rPr>
          <w:rFonts w:ascii="Roboto" w:eastAsia="Roboto" w:hAnsi="Roboto" w:cs="Roboto"/>
          <w:color w:val="E83544"/>
          <w:sz w:val="22"/>
          <w:szCs w:val="22"/>
        </w:rPr>
      </w:pPr>
    </w:p>
    <w:p w14:paraId="224AC019" w14:textId="77777777" w:rsidR="00F44992" w:rsidRDefault="00F44992">
      <w:pPr>
        <w:jc w:val="both"/>
        <w:rPr>
          <w:rFonts w:ascii="Roboto" w:eastAsia="Roboto" w:hAnsi="Roboto" w:cs="Roboto"/>
          <w:color w:val="E83544"/>
          <w:sz w:val="22"/>
          <w:szCs w:val="22"/>
        </w:rPr>
      </w:pPr>
    </w:p>
    <w:p w14:paraId="224AC01A" w14:textId="77777777" w:rsidR="00F44992" w:rsidRDefault="00E908F3">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224AC01B" w14:textId="77777777" w:rsidR="00F44992" w:rsidRDefault="00E908F3">
      <w:pPr>
        <w:jc w:val="both"/>
        <w:rPr>
          <w:rFonts w:ascii="Roboto" w:eastAsia="Roboto" w:hAnsi="Roboto" w:cs="Roboto"/>
          <w:sz w:val="22"/>
          <w:szCs w:val="22"/>
        </w:rPr>
      </w:pPr>
      <w:r>
        <w:rPr>
          <w:rFonts w:ascii="Roboto" w:eastAsia="Roboto" w:hAnsi="Roboto" w:cs="Roboto"/>
          <w:sz w:val="22"/>
          <w:szCs w:val="22"/>
        </w:rPr>
        <w:t>Eva Martín</w:t>
      </w:r>
    </w:p>
    <w:p w14:paraId="224AC01C" w14:textId="77777777" w:rsidR="00F44992" w:rsidRDefault="00E908F3">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6">
        <w:r>
          <w:rPr>
            <w:rFonts w:ascii="Roboto" w:eastAsia="Roboto" w:hAnsi="Roboto" w:cs="Roboto"/>
            <w:color w:val="E83544"/>
            <w:sz w:val="22"/>
            <w:szCs w:val="22"/>
            <w:u w:val="single"/>
          </w:rPr>
          <w:t>evamc@varenga.es</w:t>
        </w:r>
      </w:hyperlink>
    </w:p>
    <w:p w14:paraId="224AC01D" w14:textId="77777777" w:rsidR="00F44992" w:rsidRDefault="00F44992">
      <w:pPr>
        <w:spacing w:after="160"/>
        <w:jc w:val="both"/>
        <w:rPr>
          <w:rFonts w:ascii="Roboto" w:eastAsia="Roboto" w:hAnsi="Roboto" w:cs="Roboto"/>
          <w:color w:val="333333"/>
          <w:sz w:val="27"/>
          <w:szCs w:val="27"/>
          <w:highlight w:val="white"/>
        </w:rPr>
      </w:pPr>
    </w:p>
    <w:p w14:paraId="224AC01E" w14:textId="77777777" w:rsidR="00F44992" w:rsidRDefault="00F44992">
      <w:pPr>
        <w:pBdr>
          <w:top w:val="nil"/>
          <w:left w:val="nil"/>
          <w:bottom w:val="nil"/>
          <w:right w:val="nil"/>
          <w:between w:val="nil"/>
        </w:pBdr>
        <w:rPr>
          <w:rFonts w:ascii="Calibri" w:eastAsia="Calibri" w:hAnsi="Calibri" w:cs="Calibri"/>
          <w:highlight w:val="white"/>
        </w:rPr>
      </w:pPr>
    </w:p>
    <w:sectPr w:rsidR="00F44992">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AC031" w14:textId="77777777" w:rsidR="00E908F3" w:rsidRDefault="00E908F3">
      <w:r>
        <w:separator/>
      </w:r>
    </w:p>
  </w:endnote>
  <w:endnote w:type="continuationSeparator" w:id="0">
    <w:p w14:paraId="224AC033" w14:textId="77777777" w:rsidR="00E908F3" w:rsidRDefault="00E90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8CD9E1DA-B350-4F70-9B76-34D2898C93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02EC24B-18BA-4D86-A6C0-0272CBD8755B}"/>
    <w:embedItalic r:id="rId3" w:fontKey="{027AA9C3-CDED-4979-8E47-81C740365ABE}"/>
  </w:font>
  <w:font w:name="Roboto">
    <w:charset w:val="00"/>
    <w:family w:val="auto"/>
    <w:pitch w:val="variable"/>
    <w:sig w:usb0="E0000AFF" w:usb1="5000217F" w:usb2="00000021" w:usb3="00000000" w:csb0="0000019F" w:csb1="00000000"/>
    <w:embedRegular r:id="rId4" w:fontKey="{E84DAAE9-309E-4D6F-BD29-F209DDFF8E9A}"/>
    <w:embedBold r:id="rId5" w:fontKey="{74A5E00A-48D0-4125-86DB-AE6AA4868482}"/>
  </w:font>
  <w:font w:name="Aptos">
    <w:charset w:val="00"/>
    <w:family w:val="swiss"/>
    <w:pitch w:val="variable"/>
    <w:sig w:usb0="20000287" w:usb1="00000003" w:usb2="00000000" w:usb3="00000000" w:csb0="0000019F" w:csb1="00000000"/>
    <w:embedRegular r:id="rId6" w:fontKey="{308AC585-009B-4DF3-AE0C-8F8539201184}"/>
    <w:embedBold r:id="rId7" w:fontKey="{ADEED3B7-17FF-40E5-ABDD-88A7A6B3F561}"/>
  </w:font>
  <w:font w:name="Calibri">
    <w:panose1 w:val="020F0502020204030204"/>
    <w:charset w:val="00"/>
    <w:family w:val="swiss"/>
    <w:pitch w:val="variable"/>
    <w:sig w:usb0="E4002EFF" w:usb1="C000247B" w:usb2="00000009" w:usb3="00000000" w:csb0="000001FF" w:csb1="00000000"/>
    <w:embedRegular r:id="rId8" w:fontKey="{0868C3DA-94F3-4A11-9F18-3EEAED220914}"/>
    <w:embedBold r:id="rId9" w:fontKey="{2A42C7A6-B559-498C-BE16-769DCE474650}"/>
  </w:font>
  <w:font w:name="Cambria">
    <w:panose1 w:val="02040503050406030204"/>
    <w:charset w:val="00"/>
    <w:family w:val="roman"/>
    <w:pitch w:val="variable"/>
    <w:sig w:usb0="E00006FF" w:usb1="420024FF" w:usb2="02000000" w:usb3="00000000" w:csb0="0000019F" w:csb1="00000000"/>
    <w:embedRegular r:id="rId10" w:fontKey="{11629123-4DF8-468F-A732-5F608090E9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C028" w14:textId="77777777" w:rsidR="00F44992" w:rsidRDefault="00F44992">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C029" w14:textId="69CDF00D" w:rsidR="00F44992" w:rsidRDefault="00E908F3">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254FD2">
      <w:rPr>
        <w:noProof/>
        <w:color w:val="000000"/>
      </w:rPr>
      <w:t>1</w:t>
    </w:r>
    <w:r>
      <w:rPr>
        <w:color w:val="000000"/>
      </w:rPr>
      <w:fldChar w:fldCharType="end"/>
    </w:r>
  </w:p>
  <w:p w14:paraId="224AC02A" w14:textId="77777777" w:rsidR="00F44992" w:rsidRDefault="00F44992">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C02C" w14:textId="77777777" w:rsidR="00F44992" w:rsidRDefault="00F44992">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AC02D" w14:textId="77777777" w:rsidR="00E908F3" w:rsidRDefault="00E908F3">
      <w:r>
        <w:separator/>
      </w:r>
    </w:p>
  </w:footnote>
  <w:footnote w:type="continuationSeparator" w:id="0">
    <w:p w14:paraId="224AC02F" w14:textId="77777777" w:rsidR="00E908F3" w:rsidRDefault="00E90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C024" w14:textId="77777777" w:rsidR="00F44992" w:rsidRDefault="00F44992">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C025" w14:textId="77777777" w:rsidR="00F44992" w:rsidRDefault="00E908F3">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224AC02D" wp14:editId="224AC02E">
          <wp:simplePos x="0" y="0"/>
          <wp:positionH relativeFrom="column">
            <wp:posOffset>4114800</wp:posOffset>
          </wp:positionH>
          <wp:positionV relativeFrom="paragraph">
            <wp:posOffset>-304781</wp:posOffset>
          </wp:positionV>
          <wp:extent cx="1547842" cy="997267"/>
          <wp:effectExtent l="0" t="0" r="0" b="0"/>
          <wp:wrapSquare wrapText="bothSides" distT="114300" distB="114300" distL="114300" distR="114300"/>
          <wp:docPr id="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224AC026" w14:textId="77777777" w:rsidR="00F44992" w:rsidRDefault="00E908F3">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224AC027" w14:textId="77777777" w:rsidR="00F44992" w:rsidRDefault="00F44992">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C02B" w14:textId="77777777" w:rsidR="00F44992" w:rsidRDefault="00F44992">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42EB8"/>
    <w:multiLevelType w:val="multilevel"/>
    <w:tmpl w:val="117040CE"/>
    <w:lvl w:ilvl="0">
      <w:start w:val="1"/>
      <w:numFmt w:val="bullet"/>
      <w:lvlText w:val="●"/>
      <w:lvlJc w:val="left"/>
      <w:pPr>
        <w:ind w:left="720" w:hanging="360"/>
      </w:pPr>
      <w:rPr>
        <w:rFonts w:ascii="Verdana" w:eastAsia="Verdana" w:hAnsi="Verdana" w:cs="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3652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992"/>
    <w:rsid w:val="00106EF6"/>
    <w:rsid w:val="00254FD2"/>
    <w:rsid w:val="0057157C"/>
    <w:rsid w:val="007B484B"/>
    <w:rsid w:val="00DD18DC"/>
    <w:rsid w:val="00E908F3"/>
    <w:rsid w:val="00F449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AC000"/>
  <w15:docId w15:val="{6E4789CF-59DD-4C5B-9320-01E6523A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rsid w:val="009755B3"/>
    <w:tblPr>
      <w:tblCellMar>
        <w:top w:w="0" w:type="dxa"/>
        <w:left w:w="0" w:type="dxa"/>
        <w:bottom w:w="0" w:type="dxa"/>
        <w:right w:w="0" w:type="dxa"/>
      </w:tblCellMar>
    </w:tblPr>
  </w:style>
  <w:style w:type="table" w:customStyle="1" w:styleId="TableNormal2">
    <w:name w:val="Table Normal2"/>
    <w:rsid w:val="00A46C3D"/>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styleId="Revisin">
    <w:name w:val="Revision"/>
    <w:hidden/>
    <w:uiPriority w:val="99"/>
    <w:semiHidden/>
    <w:rsid w:val="007858B3"/>
  </w:style>
  <w:style w:type="character" w:styleId="Hipervnculo">
    <w:name w:val="Hyperlink"/>
    <w:basedOn w:val="Fuentedeprrafopredeter"/>
    <w:uiPriority w:val="99"/>
    <w:unhideWhenUsed/>
    <w:rsid w:val="00615075"/>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semiHidden/>
    <w:unhideWhenUsed/>
    <w:rsid w:val="00C215DA"/>
    <w:pPr>
      <w:tabs>
        <w:tab w:val="center" w:pos="4252"/>
        <w:tab w:val="right" w:pos="8504"/>
      </w:tabs>
    </w:pPr>
  </w:style>
  <w:style w:type="character" w:customStyle="1" w:styleId="EncabezadoCar">
    <w:name w:val="Encabezado Car"/>
    <w:basedOn w:val="Fuentedeprrafopredeter"/>
    <w:link w:val="Encabezado"/>
    <w:uiPriority w:val="99"/>
    <w:semiHidden/>
    <w:rsid w:val="00C215DA"/>
  </w:style>
  <w:style w:type="paragraph" w:styleId="Piedepgina">
    <w:name w:val="footer"/>
    <w:basedOn w:val="Normal"/>
    <w:link w:val="PiedepginaCar"/>
    <w:uiPriority w:val="99"/>
    <w:semiHidden/>
    <w:unhideWhenUsed/>
    <w:rsid w:val="00C215DA"/>
    <w:pPr>
      <w:tabs>
        <w:tab w:val="center" w:pos="4252"/>
        <w:tab w:val="right" w:pos="8504"/>
      </w:tabs>
    </w:pPr>
  </w:style>
  <w:style w:type="character" w:customStyle="1" w:styleId="PiedepginaCar">
    <w:name w:val="Pie de página Car"/>
    <w:basedOn w:val="Fuentedeprrafopredeter"/>
    <w:link w:val="Piedepgina"/>
    <w:uiPriority w:val="99"/>
    <w:semiHidden/>
    <w:rsid w:val="00C215DA"/>
  </w:style>
  <w:style w:type="character" w:styleId="Hipervnculovisitado">
    <w:name w:val="FollowedHyperlink"/>
    <w:basedOn w:val="Fuentedeprrafopredeter"/>
    <w:uiPriority w:val="99"/>
    <w:semiHidden/>
    <w:unhideWhenUsed/>
    <w:rsid w:val="00615075"/>
    <w:rPr>
      <w:color w:val="800080" w:themeColor="followedHyperlink"/>
      <w:u w:val="single"/>
    </w:rPr>
  </w:style>
  <w:style w:type="character" w:styleId="Textoennegrita">
    <w:name w:val="Strong"/>
    <w:basedOn w:val="Fuentedeprrafopredeter"/>
    <w:uiPriority w:val="22"/>
    <w:qFormat/>
    <w:rsid w:val="001466CE"/>
    <w:rPr>
      <w:b/>
      <w:bCs/>
    </w:rPr>
  </w:style>
  <w:style w:type="character" w:styleId="Refdecomentario">
    <w:name w:val="annotation reference"/>
    <w:basedOn w:val="Fuentedeprrafopredeter"/>
    <w:uiPriority w:val="99"/>
    <w:semiHidden/>
    <w:unhideWhenUsed/>
    <w:rsid w:val="003A12A1"/>
    <w:rPr>
      <w:sz w:val="16"/>
      <w:szCs w:val="16"/>
    </w:rPr>
  </w:style>
  <w:style w:type="paragraph" w:styleId="Textocomentario">
    <w:name w:val="annotation text"/>
    <w:basedOn w:val="Normal"/>
    <w:link w:val="TextocomentarioCar"/>
    <w:uiPriority w:val="99"/>
    <w:unhideWhenUsed/>
    <w:rsid w:val="003A12A1"/>
    <w:rPr>
      <w:sz w:val="20"/>
      <w:szCs w:val="20"/>
    </w:rPr>
  </w:style>
  <w:style w:type="character" w:customStyle="1" w:styleId="TextocomentarioCar">
    <w:name w:val="Texto comentario Car"/>
    <w:basedOn w:val="Fuentedeprrafopredeter"/>
    <w:link w:val="Textocomentario"/>
    <w:uiPriority w:val="99"/>
    <w:rsid w:val="003A12A1"/>
    <w:rPr>
      <w:sz w:val="20"/>
      <w:szCs w:val="20"/>
    </w:rPr>
  </w:style>
  <w:style w:type="paragraph" w:styleId="Asuntodelcomentario">
    <w:name w:val="annotation subject"/>
    <w:basedOn w:val="Textocomentario"/>
    <w:next w:val="Textocomentario"/>
    <w:link w:val="AsuntodelcomentarioCar"/>
    <w:uiPriority w:val="99"/>
    <w:semiHidden/>
    <w:unhideWhenUsed/>
    <w:rsid w:val="003A12A1"/>
    <w:rPr>
      <w:b/>
      <w:bCs/>
    </w:rPr>
  </w:style>
  <w:style w:type="character" w:customStyle="1" w:styleId="AsuntodelcomentarioCar">
    <w:name w:val="Asunto del comentario Car"/>
    <w:basedOn w:val="TextocomentarioCar"/>
    <w:link w:val="Asuntodelcomentario"/>
    <w:uiPriority w:val="99"/>
    <w:semiHidden/>
    <w:rsid w:val="003A12A1"/>
    <w:rPr>
      <w:b/>
      <w:bCs/>
      <w:sz w:val="20"/>
      <w:szCs w:val="20"/>
    </w:rPr>
  </w:style>
  <w:style w:type="table" w:customStyle="1" w:styleId="TableNormal10">
    <w:name w:val="Table Normal1"/>
    <w:rsid w:val="00FB6A1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ac.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enac.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vamc@varenga.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e.es/diario_boe/txt.php?id=BOE-A-2024-22444"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yJ19mbVqU+MUH/W4EM0ERZxY+Q==">CgMxLjAaGgoBMBIVChMIBCoPCgtBQUFCVkJFVGpJYxABGhoKATESFQoTCAQqDwoLQUFBQlZCRVRqSTQQAhoaCgEyEhUKEwgEKg8KC0FBQUJWQkVUakk0EAIaJwoBMxIiCiAIBCocCgtBQUFCVkJFVGpJNBAIGgtBQUFCVkJFVGpJOBoaCgE0EhUKEwgEKg8KC0FBQUJWQkVUaklVEAIaGgoBNRIVChMIBCoPCgtBQUFCVkJFVGpJVRACIq8CCgtBQUFCVkJFVGpJYxL7AQoLQUFBQlZCRVRqSWMSC0FBQUJWQkVUakljGg0KCXRleHQvaHRtbBIAIg4KCnRleHQvcGxhaW4SACobIhUxMTE5ODY3OTU5NjMxMTE2NDAzNDAoADgAMNOav4qyMjjUwb+KsjJKYQokYXBwbGljYXRpb24vdm5kLmdvb2dsZS1hcHBzLmRvY3MubWRzGjnC19rkATMaMQotCicsIGxhIEVudGlkYWQgTmFjaW9uYWwgZGUgQWNyZWRpdGFjacOzbiwQARgAEAFaDHY4dm1hOTVtNnRscnICIAB4AIIBFHN1Z2dlc3Qucm95N3dwam00dndpmgEGCAAQABgAGNOav4qyMiDUwb+KsjJCFHN1Z2dlc3Qucm95N3dwam00dndpIoUFCgtBQUFCVkJFVGpJNBLRBAoLQUFBQlZCRVRqSTQSC0FBQUJWQkVUakk0Gg0KCXRleHQvaHRtbBIAIg4KCnRleHQvcGxhaW4SACobIhUxMTE5ODY3OTU5NjMxMTE2NDAzNDAoADgAMNyEy4qyMjiu68uKsjJCkwIKC0FBQUJWQkVUakk4EgtBQUFCVkJFVGpJNBo8Cgl0ZXh0L2h0bWwSL8K/ZXN0byBubyBlcyBsbyBtaXNtbyBxdWUgZWwgcMOhcnJhZm8gYW50ZXJpb3I/Ij0KCnRleHQvcGxhaW4SL8K/ZXN0byBubyBlcyBsbyBtaXNtbyBxdWUgZWwgcMOhcnJhZm8gYW50ZXJpb3I/KhsiFTExMTk4Njc5NTk2MzExMTY0MDM0MCgAOAAwruvLirIyOK7ry4qyMloMdmYyMGx4cmYweTdkcgIgAHgAmgEGCAAQABgAqgExEi/Cv2VzdG8gbm8gZXMgbG8gbWlzbW8gcXVlIGVsIHDDoXJyYWZvIGFudGVyaW9yP0qgAQokYXBwbGljYXRpb24vdm5kLmdvb2dsZS1hcHBzLmRvY3MubWRzGnjC19rkAXIScApsCmZFc3RhcyBldmFsdWFjaW9uZXMsIHNlZ8O6biBlc3RhYmxlY2UgZWwgdGV4dG8gcmVnbGFtZW50YXJpbywgcG9kcsOhbiBzZXIgcmVhbGl6YWRhcyBwb3IgdW5hIGVudGlkYWQgY28QARgBEAFaDHNxNjFtbXN0dHR2eHICIAB4AIIBFHN1Z2dlc3QudWtja2hjaXluZzV4mgEGCAAQABgAGNyEy4qyMiCu68uKsjJCFHN1Z2dlc3QudWtja2hjaXluZzV4Iu8CCgtBQUFCVkJFVGpJVRK7AgoLQUFBQlZCRVRqSVUSC0FBQUJWQkVUaklVGg0KCXRleHQvaHRtbBIAIg4KCnRleHQvcGxhaW4SACobIhUxMTE5ODY3OTU5NjMxMTE2NDAzNDAoADgAMMebvYqyMjjMpr2KsjJKoAEKJGFwcGxpY2F0aW9uL3ZuZC5nb29nbGUtYXBwcy5kb2NzLm1kcxp4wtfa5AFyEnAKbApmU2kgZXN0w6EgaW50ZXJlc2Fkb3MgZW4gc29saWNpdGFyIGxhIGFjcmVkaXRhY2nDs24gcGFyYSBlc3RlIHRpcG8gZGUgYWN0aXZpZGFkZXMsIHB1ZWRlIGNvbnRhY3RhciBjb24gEAEYARABWgxnZHhybzRtN2cwYm9yAiAAeACCARRzdWdnZXN0LnBxYWIxOGw5aWFkM5oBBggAEAAYABjHm72KsjIgzKa9irIyQhRzdWdnZXN0LnBxYWIxOGw5aWFkMzgAaiMKFHN1Z2dlc3QuNTI0emlpajVxOXp6EgtFdmEgTWFydMOtbmojChRzdWdnZXN0LjVkMWU3NzI0cHNhYhILRXZhIE1hcnTDrW5qIwoUc3VnZ2VzdC5yb3k3d3BqbTR2d2kSC0V2YSBNYXJ0w61uaiMKFHN1Z2dlc3QudWtja2hjaXluZzV4EgtFdmEgTWFydMOtbmojChRzdWdnZXN0LnBxYWIxOGw5aWFkMxILRXZhIE1hcnTDrW5yITFIZTN5MGZiaG56MmJRNldJbHNfRkU4anltQm9GWG9Ud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Props1.xml><?xml version="1.0" encoding="utf-8"?>
<ds:datastoreItem xmlns:ds="http://schemas.openxmlformats.org/officeDocument/2006/customXml" ds:itemID="{1B39EAF8-3680-4006-B3CF-ECCFBCA76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4A0B7971-D60E-4C3C-8EAC-86EF43DE8DF6}">
  <ds:schemaRefs>
    <ds:schemaRef ds:uri="http://schemas.microsoft.com/sharepoint/v3/contenttype/forms"/>
  </ds:schemaRefs>
</ds:datastoreItem>
</file>

<file path=customXml/itemProps4.xml><?xml version="1.0" encoding="utf-8"?>
<ds:datastoreItem xmlns:ds="http://schemas.openxmlformats.org/officeDocument/2006/customXml" ds:itemID="{628FFCEC-7EB5-4CD7-84C0-C228AF3F52A9}">
  <ds:schemaRefs>
    <ds:schemaRef ds:uri="http://purl.org/dc/terms/"/>
    <ds:schemaRef ds:uri="http://purl.org/dc/dcmitype/"/>
    <ds:schemaRef ds:uri="http://schemas.openxmlformats.org/package/2006/metadata/core-properties"/>
    <ds:schemaRef ds:uri="http://schemas.microsoft.com/office/infopath/2007/PartnerControls"/>
    <ds:schemaRef ds:uri="909e21e3-a2e2-47ca-be0e-9c3a9bef9292"/>
    <ds:schemaRef ds:uri="http://purl.org/dc/elements/1.1/"/>
    <ds:schemaRef ds:uri="http://schemas.microsoft.com/office/2006/documentManagement/types"/>
    <ds:schemaRef ds:uri="6e290ce1-b2e7-4ccb-948d-a290ef611fa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594</Words>
  <Characters>3273</Characters>
  <Application>Microsoft Office Word</Application>
  <DocSecurity>0</DocSecurity>
  <Lines>27</Lines>
  <Paragraphs>7</Paragraphs>
  <ScaleCrop>false</ScaleCrop>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Gonzalez Fernandez</dc:creator>
  <cp:lastModifiedBy>Denise Diaz Pozo</cp:lastModifiedBy>
  <cp:revision>5</cp:revision>
  <dcterms:created xsi:type="dcterms:W3CDTF">2024-01-31T09:31:00Z</dcterms:created>
  <dcterms:modified xsi:type="dcterms:W3CDTF">2024-11-19T07:22:00Z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