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A6D9" w14:textId="77777777" w:rsidR="00AD4AFC" w:rsidRPr="004A0D65" w:rsidRDefault="00AD4AFC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14:paraId="76B64AE8" w14:textId="40BE7499" w:rsidR="7C982569" w:rsidRPr="004A0D65" w:rsidRDefault="7C982569" w:rsidP="5FD30BCF">
      <w:pPr>
        <w:jc w:val="center"/>
        <w:rPr>
          <w:rFonts w:ascii="Roboto" w:eastAsia="Roboto" w:hAnsi="Roboto" w:cs="Roboto"/>
          <w:b/>
          <w:bCs/>
          <w:color w:val="000000" w:themeColor="text1"/>
          <w:sz w:val="32"/>
          <w:szCs w:val="32"/>
        </w:rPr>
      </w:pPr>
      <w:r w:rsidRPr="004A0D65">
        <w:rPr>
          <w:rFonts w:ascii="Roboto" w:eastAsia="Roboto" w:hAnsi="Roboto" w:cs="Roboto"/>
          <w:b/>
          <w:bCs/>
          <w:color w:val="000000" w:themeColor="text1"/>
          <w:sz w:val="32"/>
          <w:szCs w:val="32"/>
        </w:rPr>
        <w:t xml:space="preserve">ENAC pone a disposición de los laboratorios un programa piloto para la acreditación de acuerdo al futuro esquema de certificación de ciberseguridad europeo EUCC  </w:t>
      </w:r>
    </w:p>
    <w:p w14:paraId="16ACA6DD" w14:textId="77777777" w:rsidR="00AD4AFC" w:rsidRPr="004A0D65" w:rsidRDefault="00AD4A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Roboto" w:eastAsia="Roboto" w:hAnsi="Roboto" w:cs="Roboto"/>
          <w:b/>
          <w:color w:val="FF0000"/>
          <w:sz w:val="28"/>
          <w:szCs w:val="28"/>
        </w:rPr>
      </w:pPr>
    </w:p>
    <w:p w14:paraId="16ACA6DE" w14:textId="77777777" w:rsidR="00AD4AFC" w:rsidRPr="004A0D65" w:rsidRDefault="001C52F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jc w:val="both"/>
        <w:rPr>
          <w:rFonts w:ascii="Roboto" w:eastAsia="Roboto" w:hAnsi="Roboto" w:cs="Roboto"/>
          <w:b/>
        </w:rPr>
      </w:pPr>
      <w:r w:rsidRPr="004A0D65">
        <w:rPr>
          <w:rFonts w:ascii="Roboto" w:eastAsia="Roboto" w:hAnsi="Roboto" w:cs="Roboto"/>
          <w:b/>
          <w:sz w:val="22"/>
          <w:szCs w:val="22"/>
        </w:rPr>
        <w:t xml:space="preserve">El objetivo es poder ofrecer al mercado español, en el menor plazo posible, laboratorios acreditados una vez se apruebe el esquema europeo de certificación basado en </w:t>
      </w:r>
      <w:proofErr w:type="spellStart"/>
      <w:r w:rsidRPr="004A0D65">
        <w:rPr>
          <w:rFonts w:ascii="Roboto" w:eastAsia="Roboto" w:hAnsi="Roboto" w:cs="Roboto"/>
          <w:b/>
          <w:sz w:val="22"/>
          <w:szCs w:val="22"/>
        </w:rPr>
        <w:t>Common</w:t>
      </w:r>
      <w:proofErr w:type="spellEnd"/>
      <w:r w:rsidRPr="004A0D65">
        <w:rPr>
          <w:rFonts w:ascii="Roboto" w:eastAsia="Roboto" w:hAnsi="Roboto" w:cs="Roboto"/>
          <w:b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b/>
          <w:sz w:val="22"/>
          <w:szCs w:val="22"/>
        </w:rPr>
        <w:t>Criteria</w:t>
      </w:r>
      <w:proofErr w:type="spellEnd"/>
      <w:r w:rsidRPr="004A0D65">
        <w:rPr>
          <w:rFonts w:ascii="Roboto" w:eastAsia="Roboto" w:hAnsi="Roboto" w:cs="Roboto"/>
          <w:b/>
          <w:sz w:val="22"/>
          <w:szCs w:val="22"/>
        </w:rPr>
        <w:t xml:space="preserve"> (EUCC), dado que, además, se espera un tiempo de transición corto para su aplicación.</w:t>
      </w:r>
    </w:p>
    <w:p w14:paraId="16ACA6DF" w14:textId="77777777" w:rsidR="00AD4AFC" w:rsidRPr="004A0D65" w:rsidRDefault="00AD4AFC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16ACA6E0" w14:textId="3988957D" w:rsidR="00AD4AFC" w:rsidRPr="004A0D65" w:rsidRDefault="001C52F4" w:rsidP="5FD30BCF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Madrid, </w:t>
      </w:r>
      <w:r w:rsidR="0E878397" w:rsidRPr="004A0D65">
        <w:rPr>
          <w:rFonts w:ascii="Roboto" w:eastAsia="Roboto" w:hAnsi="Roboto" w:cs="Roboto"/>
          <w:color w:val="000000" w:themeColor="text1"/>
          <w:sz w:val="22"/>
          <w:szCs w:val="22"/>
        </w:rPr>
        <w:t>06 de noviembre 2023</w:t>
      </w:r>
      <w:r w:rsidRPr="004A0D65">
        <w:rPr>
          <w:rFonts w:ascii="Roboto" w:eastAsia="Roboto" w:hAnsi="Roboto" w:cs="Roboto"/>
          <w:sz w:val="22"/>
          <w:szCs w:val="22"/>
        </w:rPr>
        <w:t xml:space="preserve">.- </w:t>
      </w:r>
      <w:sdt>
        <w:sdtPr>
          <w:rPr>
            <w:rFonts w:ascii="Roboto" w:hAnsi="Roboto"/>
          </w:rPr>
          <w:tag w:val="goog_rdk_0"/>
          <w:id w:val="1641385128"/>
          <w:placeholder>
            <w:docPart w:val="DefaultPlaceholder_1081868574"/>
          </w:placeholder>
        </w:sdtPr>
        <w:sdtEndPr/>
        <w:sdtContent>
          <w:r w:rsidRPr="004A0D65">
            <w:rPr>
              <w:rFonts w:ascii="Roboto" w:eastAsia="Roboto" w:hAnsi="Roboto" w:cs="Roboto"/>
              <w:sz w:val="22"/>
              <w:szCs w:val="22"/>
            </w:rPr>
            <w:t xml:space="preserve">La </w:t>
          </w:r>
          <w:hyperlink r:id="rId11" w:history="1">
            <w:r w:rsidRPr="004A0D65">
              <w:rPr>
                <w:rFonts w:ascii="Roboto" w:eastAsia="Roboto" w:hAnsi="Roboto" w:cs="Roboto"/>
                <w:b/>
                <w:bCs/>
                <w:color w:val="1155CC"/>
                <w:sz w:val="22"/>
                <w:szCs w:val="22"/>
                <w:u w:val="single"/>
              </w:rPr>
              <w:t>Entidad Nacional de Acreditación</w:t>
            </w:r>
          </w:hyperlink>
          <w:r w:rsidRPr="004A0D65">
            <w:rPr>
              <w:rFonts w:ascii="Roboto" w:eastAsia="Roboto" w:hAnsi="Roboto" w:cs="Roboto"/>
              <w:sz w:val="22"/>
              <w:szCs w:val="22"/>
            </w:rPr>
            <w:t xml:space="preserve"> (</w:t>
          </w:r>
        </w:sdtContent>
      </w:sdt>
      <w:r w:rsidRPr="004A0D65">
        <w:rPr>
          <w:rFonts w:ascii="Roboto" w:eastAsia="Roboto" w:hAnsi="Roboto" w:cs="Roboto"/>
          <w:sz w:val="22"/>
          <w:szCs w:val="22"/>
        </w:rPr>
        <w:t>ENAC</w:t>
      </w:r>
      <w:sdt>
        <w:sdtPr>
          <w:rPr>
            <w:rFonts w:ascii="Roboto" w:hAnsi="Roboto"/>
          </w:rPr>
          <w:tag w:val="goog_rdk_1"/>
          <w:id w:val="1493682759"/>
          <w:placeholder>
            <w:docPart w:val="DefaultPlaceholder_1081868574"/>
          </w:placeholder>
        </w:sdtPr>
        <w:sdtEndPr/>
        <w:sdtContent>
          <w:r w:rsidRPr="004A0D65">
            <w:rPr>
              <w:rFonts w:ascii="Roboto" w:eastAsia="Roboto" w:hAnsi="Roboto" w:cs="Roboto"/>
              <w:sz w:val="22"/>
              <w:szCs w:val="22"/>
            </w:rPr>
            <w:t>)</w:t>
          </w:r>
        </w:sdtContent>
      </w:sdt>
      <w:r w:rsidRPr="004A0D65">
        <w:rPr>
          <w:rFonts w:ascii="Roboto" w:eastAsia="Roboto" w:hAnsi="Roboto" w:cs="Roboto"/>
          <w:sz w:val="22"/>
          <w:szCs w:val="22"/>
        </w:rPr>
        <w:t xml:space="preserve"> ha desarrollado recientemente, a instancias del </w:t>
      </w:r>
      <w:hyperlink r:id="rId12">
        <w:r w:rsidRPr="004A0D65">
          <w:rPr>
            <w:rFonts w:ascii="Roboto" w:eastAsia="Roboto" w:hAnsi="Roboto" w:cs="Roboto"/>
            <w:b/>
            <w:bCs/>
            <w:color w:val="1155CC"/>
            <w:sz w:val="22"/>
            <w:szCs w:val="22"/>
            <w:u w:val="single"/>
          </w:rPr>
          <w:t>Centro Criptológico Nacional</w:t>
        </w:r>
      </w:hyperlink>
      <w:r w:rsidRPr="004A0D65">
        <w:rPr>
          <w:rFonts w:ascii="Roboto" w:eastAsia="Roboto" w:hAnsi="Roboto" w:cs="Roboto"/>
          <w:sz w:val="22"/>
          <w:szCs w:val="22"/>
        </w:rPr>
        <w:t xml:space="preserve">, un programa piloto para la acreditación de laboratorios de acuerdo a los requisitos esperables en el </w:t>
      </w:r>
      <w:r w:rsidRPr="004A0D65">
        <w:rPr>
          <w:rFonts w:ascii="Roboto" w:eastAsia="Roboto" w:hAnsi="Roboto" w:cs="Roboto"/>
          <w:b/>
          <w:bCs/>
          <w:sz w:val="22"/>
          <w:szCs w:val="22"/>
        </w:rPr>
        <w:t xml:space="preserve">esquema europeo de certificación basado en </w:t>
      </w:r>
      <w:proofErr w:type="spellStart"/>
      <w:r w:rsidRPr="004A0D65">
        <w:rPr>
          <w:rFonts w:ascii="Roboto" w:eastAsia="Roboto" w:hAnsi="Roboto" w:cs="Roboto"/>
          <w:b/>
          <w:bCs/>
          <w:sz w:val="22"/>
          <w:szCs w:val="22"/>
        </w:rPr>
        <w:t>Common</w:t>
      </w:r>
      <w:proofErr w:type="spellEnd"/>
      <w:r w:rsidRPr="004A0D65">
        <w:rPr>
          <w:rFonts w:ascii="Roboto" w:eastAsia="Roboto" w:hAnsi="Roboto" w:cs="Roboto"/>
          <w:b/>
          <w:bCs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b/>
          <w:bCs/>
          <w:sz w:val="22"/>
          <w:szCs w:val="22"/>
        </w:rPr>
        <w:t>Criteria</w:t>
      </w:r>
      <w:proofErr w:type="spellEnd"/>
      <w:r w:rsidRPr="004A0D65">
        <w:rPr>
          <w:rFonts w:ascii="Roboto" w:eastAsia="Roboto" w:hAnsi="Roboto" w:cs="Roboto"/>
          <w:b/>
          <w:bCs/>
          <w:sz w:val="22"/>
          <w:szCs w:val="22"/>
        </w:rPr>
        <w:t xml:space="preserve"> (EUCC),</w:t>
      </w:r>
      <w:r w:rsidRPr="004A0D65">
        <w:rPr>
          <w:rFonts w:ascii="Roboto" w:eastAsia="Roboto" w:hAnsi="Roboto" w:cs="Roboto"/>
          <w:sz w:val="22"/>
          <w:szCs w:val="22"/>
        </w:rPr>
        <w:t xml:space="preserve"> que no ha sido todavía formalmente aprobado pero que se encuentra en las fases finales de su desarrollo. El programa piloto tiene como objetivo </w:t>
      </w:r>
      <w:r w:rsidRPr="004A0D65">
        <w:rPr>
          <w:rFonts w:ascii="Roboto" w:eastAsia="Roboto" w:hAnsi="Roboto" w:cs="Roboto"/>
          <w:b/>
          <w:bCs/>
          <w:sz w:val="22"/>
          <w:szCs w:val="22"/>
        </w:rPr>
        <w:t>ofrecer al mercado español, en el menor plazo posible, laboratorios acreditados una vez se apruebe el EUCC</w:t>
      </w:r>
      <w:r w:rsidRPr="004A0D65">
        <w:rPr>
          <w:rFonts w:ascii="Roboto" w:eastAsia="Roboto" w:hAnsi="Roboto" w:cs="Roboto"/>
          <w:sz w:val="22"/>
          <w:szCs w:val="22"/>
        </w:rPr>
        <w:t xml:space="preserve">, dado que, además, </w:t>
      </w:r>
      <w:r w:rsidRPr="004A0D65">
        <w:rPr>
          <w:rFonts w:ascii="Roboto" w:eastAsia="Roboto" w:hAnsi="Roboto" w:cs="Roboto"/>
          <w:b/>
          <w:bCs/>
          <w:sz w:val="22"/>
          <w:szCs w:val="22"/>
        </w:rPr>
        <w:t>se espera un tiempo de transición corto</w:t>
      </w:r>
      <w:r w:rsidRPr="004A0D65">
        <w:rPr>
          <w:rFonts w:ascii="Roboto" w:eastAsia="Roboto" w:hAnsi="Roboto" w:cs="Roboto"/>
          <w:sz w:val="22"/>
          <w:szCs w:val="22"/>
        </w:rPr>
        <w:t xml:space="preserve"> para su aplicación, en sustitución de los esquemas nacionales actualmente vigentes bajo el acuerdo SOGIS.</w:t>
      </w:r>
    </w:p>
    <w:p w14:paraId="16ACA6E1" w14:textId="77777777" w:rsidR="00AD4AFC" w:rsidRPr="004A0D65" w:rsidRDefault="00AD4AFC">
      <w:pPr>
        <w:jc w:val="both"/>
        <w:rPr>
          <w:rFonts w:ascii="Roboto" w:eastAsia="Roboto" w:hAnsi="Roboto" w:cs="Roboto"/>
          <w:sz w:val="22"/>
          <w:szCs w:val="22"/>
        </w:rPr>
      </w:pPr>
    </w:p>
    <w:p w14:paraId="16ACA6E2" w14:textId="77777777" w:rsidR="00AD4AFC" w:rsidRPr="004A0D65" w:rsidRDefault="001C52F4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Para el desarrollo de este programa piloto, ENAC ha tomado como referencia lo establecido en el documento </w:t>
      </w:r>
      <w:r w:rsidRPr="004A0D65">
        <w:rPr>
          <w:rFonts w:ascii="Roboto" w:eastAsia="Roboto" w:hAnsi="Roboto" w:cs="Roboto"/>
          <w:i/>
          <w:sz w:val="22"/>
          <w:szCs w:val="22"/>
        </w:rPr>
        <w:t>“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Accreditation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of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ITSEFs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for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the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 xml:space="preserve"> EUCC </w:t>
      </w:r>
      <w:proofErr w:type="spellStart"/>
      <w:r w:rsidRPr="004A0D65">
        <w:rPr>
          <w:rFonts w:ascii="Roboto" w:eastAsia="Roboto" w:hAnsi="Roboto" w:cs="Roboto"/>
          <w:i/>
          <w:sz w:val="22"/>
          <w:szCs w:val="22"/>
        </w:rPr>
        <w:t>scheme</w:t>
      </w:r>
      <w:proofErr w:type="spellEnd"/>
      <w:r w:rsidRPr="004A0D65">
        <w:rPr>
          <w:rFonts w:ascii="Roboto" w:eastAsia="Roboto" w:hAnsi="Roboto" w:cs="Roboto"/>
          <w:i/>
          <w:sz w:val="22"/>
          <w:szCs w:val="22"/>
        </w:rPr>
        <w:t>; V09 de mayo de 2023”</w:t>
      </w:r>
      <w:r w:rsidRPr="004A0D65">
        <w:rPr>
          <w:rFonts w:ascii="Roboto" w:eastAsia="Roboto" w:hAnsi="Roboto" w:cs="Roboto"/>
          <w:sz w:val="22"/>
          <w:szCs w:val="22"/>
        </w:rPr>
        <w:t>, elaborado en el marco de uno de los grupos de trabajo de la Agencia de la Unión Europea para la Ciberseguridad, ENISA.</w:t>
      </w:r>
    </w:p>
    <w:p w14:paraId="2432F087" w14:textId="61F81731" w:rsidR="00AD4AFC" w:rsidRPr="004A0D65" w:rsidRDefault="19072F68" w:rsidP="5FD30BCF">
      <w:pPr>
        <w:spacing w:after="160"/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4A0D65">
        <w:rPr>
          <w:rFonts w:ascii="Roboto" w:eastAsia="Roboto" w:hAnsi="Roboto" w:cs="Roboto"/>
          <w:color w:val="000000" w:themeColor="text1"/>
          <w:sz w:val="22"/>
          <w:szCs w:val="22"/>
        </w:rPr>
        <w:t xml:space="preserve">Con la puesta en marcha de este programa, </w:t>
      </w:r>
      <w:r w:rsidRPr="004A0D65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los laboratorios interesados ya pueden solicitar la acreditación</w:t>
      </w:r>
      <w:r w:rsidRPr="004A0D65">
        <w:rPr>
          <w:rFonts w:ascii="Roboto" w:eastAsia="Roboto" w:hAnsi="Roboto" w:cs="Roboto"/>
          <w:color w:val="000000" w:themeColor="text1"/>
          <w:sz w:val="22"/>
          <w:szCs w:val="22"/>
        </w:rPr>
        <w:t xml:space="preserve">. </w:t>
      </w:r>
    </w:p>
    <w:p w14:paraId="50B615BC" w14:textId="2471930E" w:rsidR="00AD4AFC" w:rsidRPr="004A0D65" w:rsidRDefault="19072F68" w:rsidP="5FD30BCF">
      <w:pPr>
        <w:spacing w:after="160"/>
        <w:jc w:val="both"/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</w:pPr>
      <w:r w:rsidRPr="004A0D65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Certificación de la ciberseguridad en Europa</w:t>
      </w:r>
    </w:p>
    <w:p w14:paraId="16ACA6E5" w14:textId="2396FF2A" w:rsidR="00AD4AFC" w:rsidRPr="004A0D65" w:rsidRDefault="001C52F4" w:rsidP="5FD30BCF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El EUCC (EU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Certification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scheme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Common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Criteria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) es uno de los esquemas que ENISA está desarrollando en el marco de lo establecido en el Reglamento (UE) 2019/881, popularmente conocido como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Cybersecurity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Act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. Tras su publicación, el esquema sustituirá al actual acuerdo europeo SOGIS (Senior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Officers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Group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for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Information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Systems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, Mutual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Recognition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Agreement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>).</w:t>
      </w:r>
    </w:p>
    <w:p w14:paraId="16ACA6E6" w14:textId="77777777" w:rsidR="00AD4AFC" w:rsidRPr="004A0D65" w:rsidRDefault="001C52F4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El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Common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Criteria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proporciona un conjunto estandarizado de requisitos de seguridad de productos de tecnologías de la información (hardware, software o firmware) que aportan confianza sobre las evaluaciones en seguridad llevadas a cabo sobre los mismos. Una de las aplicaciones más comunes del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Common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Criteria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es la certificación de circuitos integrados y tarjetas inteligentes, que contribuyen a aportar mayor confianza sobre la seguridad de los dispositivos con firma electrónica (pasaportes, tarjetas bancarias o tacógrafos, entre otros).</w:t>
      </w:r>
    </w:p>
    <w:p w14:paraId="16ACA6E7" w14:textId="77777777" w:rsidR="00AD4AFC" w:rsidRPr="004A0D65" w:rsidRDefault="001C52F4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Asimismo, ENISA está elaborando otros esquemas relacionados con el sector de las TIC, como el de certificación sobre servicios en la nube (EU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Certification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scheme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on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 Cloud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Services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 xml:space="preserve">, EUCS) y el de certificación para redes móviles 5G (EU 5G </w:t>
      </w:r>
      <w:proofErr w:type="spellStart"/>
      <w:r w:rsidRPr="004A0D65">
        <w:rPr>
          <w:rFonts w:ascii="Roboto" w:eastAsia="Roboto" w:hAnsi="Roboto" w:cs="Roboto"/>
          <w:sz w:val="22"/>
          <w:szCs w:val="22"/>
        </w:rPr>
        <w:t>scheme</w:t>
      </w:r>
      <w:proofErr w:type="spellEnd"/>
      <w:r w:rsidRPr="004A0D65">
        <w:rPr>
          <w:rFonts w:ascii="Roboto" w:eastAsia="Roboto" w:hAnsi="Roboto" w:cs="Roboto"/>
          <w:sz w:val="22"/>
          <w:szCs w:val="22"/>
        </w:rPr>
        <w:t>), siendo el EUCC el más avanzado en su desarrollo.</w:t>
      </w:r>
    </w:p>
    <w:p w14:paraId="6FC54F37" w14:textId="4B48074D" w:rsidR="5FD30BCF" w:rsidRPr="004A0D65" w:rsidRDefault="5FD30BCF" w:rsidP="5FD30BCF">
      <w:pPr>
        <w:jc w:val="both"/>
        <w:rPr>
          <w:rFonts w:ascii="Roboto" w:eastAsia="Roboto" w:hAnsi="Roboto" w:cs="Roboto"/>
          <w:b/>
          <w:bCs/>
          <w:color w:val="E83544"/>
          <w:sz w:val="22"/>
          <w:szCs w:val="22"/>
        </w:rPr>
      </w:pPr>
    </w:p>
    <w:p w14:paraId="5A92109C" w14:textId="77777777" w:rsidR="004A0D65" w:rsidRDefault="004A0D65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16ACA6E8" w14:textId="4D1931A3" w:rsidR="00AD4AFC" w:rsidRPr="004A0D65" w:rsidRDefault="001C52F4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 w:rsidRPr="004A0D65"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16ACA6E9" w14:textId="77777777" w:rsidR="00AD4AFC" w:rsidRPr="004A0D65" w:rsidRDefault="00AD4AFC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16ACA6EA" w14:textId="30940BB6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16ACA6EB" w14:textId="77777777" w:rsidR="00AD4AFC" w:rsidRPr="004A0D65" w:rsidRDefault="00AD4AFC">
      <w:pPr>
        <w:jc w:val="both"/>
        <w:rPr>
          <w:rFonts w:ascii="Roboto" w:eastAsia="Roboto" w:hAnsi="Roboto" w:cs="Roboto"/>
          <w:sz w:val="22"/>
          <w:szCs w:val="22"/>
        </w:rPr>
      </w:pPr>
    </w:p>
    <w:p w14:paraId="16ACA6EC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16ACA6ED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 </w:t>
      </w:r>
    </w:p>
    <w:p w14:paraId="16ACA6EE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16ACA6EF" w14:textId="77777777" w:rsidR="00AD4AFC" w:rsidRPr="004A0D65" w:rsidRDefault="00AD4AFC">
      <w:pPr>
        <w:jc w:val="both"/>
        <w:rPr>
          <w:rFonts w:ascii="Roboto" w:eastAsia="Roboto" w:hAnsi="Roboto" w:cs="Roboto"/>
          <w:sz w:val="22"/>
          <w:szCs w:val="22"/>
        </w:rPr>
      </w:pPr>
    </w:p>
    <w:p w14:paraId="16ACA6F0" w14:textId="77777777" w:rsidR="00AD4AFC" w:rsidRPr="004A0D65" w:rsidRDefault="00AD4AFC">
      <w:pPr>
        <w:jc w:val="both"/>
        <w:rPr>
          <w:rFonts w:ascii="Roboto" w:eastAsia="Roboto" w:hAnsi="Roboto" w:cs="Roboto"/>
          <w:sz w:val="22"/>
          <w:szCs w:val="22"/>
        </w:rPr>
      </w:pPr>
    </w:p>
    <w:p w14:paraId="16ACA6F1" w14:textId="77777777" w:rsidR="00AD4AFC" w:rsidRPr="004A0D65" w:rsidRDefault="004A0D65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1C52F4" w:rsidRPr="004A0D65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1C52F4" w:rsidRPr="004A0D65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16ACA6F2" w14:textId="77777777" w:rsidR="00AD4AFC" w:rsidRPr="004A0D65" w:rsidRDefault="00AD4AF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6ACA6F3" w14:textId="77777777" w:rsidR="00AD4AFC" w:rsidRPr="004A0D65" w:rsidRDefault="001C52F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4A0D65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16ACA6FD" wp14:editId="16ACA6FE">
            <wp:extent cx="304800" cy="304800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0D65"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 w:rsidRPr="004A0D65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16ACA6FF" wp14:editId="16ACA700">
            <wp:extent cx="304800" cy="30480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CA6F4" w14:textId="77777777" w:rsidR="00AD4AFC" w:rsidRPr="004A0D65" w:rsidRDefault="00AD4AF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6ACA6F5" w14:textId="77777777" w:rsidR="00AD4AFC" w:rsidRPr="004A0D65" w:rsidRDefault="00AD4AFC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6ACA6F6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16ACA6F7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>Eva Martín</w:t>
      </w:r>
    </w:p>
    <w:p w14:paraId="16ACA6F8" w14:textId="77777777" w:rsidR="00AD4AFC" w:rsidRPr="004A0D65" w:rsidRDefault="001C52F4">
      <w:pPr>
        <w:jc w:val="both"/>
        <w:rPr>
          <w:rFonts w:ascii="Roboto" w:eastAsia="Roboto" w:hAnsi="Roboto" w:cs="Roboto"/>
          <w:sz w:val="22"/>
          <w:szCs w:val="22"/>
        </w:rPr>
      </w:pPr>
      <w:r w:rsidRPr="004A0D65">
        <w:rPr>
          <w:rFonts w:ascii="Roboto" w:eastAsia="Roboto" w:hAnsi="Roboto" w:cs="Roboto"/>
          <w:sz w:val="22"/>
          <w:szCs w:val="22"/>
        </w:rPr>
        <w:t xml:space="preserve">Tfno. 628 17 49 01 / </w:t>
      </w:r>
      <w:r w:rsidRPr="004A0D65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 w:rsidRPr="004A0D65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16ACA6F9" w14:textId="77777777" w:rsidR="00AD4AFC" w:rsidRPr="004A0D65" w:rsidRDefault="00AD4AFC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16ACA6FA" w14:textId="77777777" w:rsidR="00AD4AFC" w:rsidRPr="004A0D65" w:rsidRDefault="00AD4AFC">
      <w:pPr>
        <w:rPr>
          <w:rFonts w:ascii="Roboto" w:hAnsi="Roboto"/>
        </w:rPr>
      </w:pPr>
    </w:p>
    <w:p w14:paraId="16ACA6FB" w14:textId="77777777" w:rsidR="00AD4AFC" w:rsidRPr="004A0D65" w:rsidRDefault="00AD4AFC">
      <w:pPr>
        <w:rPr>
          <w:rFonts w:ascii="Roboto" w:hAnsi="Roboto"/>
        </w:rPr>
      </w:pPr>
    </w:p>
    <w:p w14:paraId="16ACA6FC" w14:textId="77777777" w:rsidR="00AD4AFC" w:rsidRPr="004A0D65" w:rsidRDefault="00AD4AF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Calibri"/>
          <w:highlight w:val="white"/>
        </w:rPr>
      </w:pPr>
    </w:p>
    <w:sectPr w:rsidR="00AD4AFC" w:rsidRPr="004A0D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6DFB" w14:textId="77777777" w:rsidR="00251837" w:rsidRDefault="00251837">
      <w:r>
        <w:separator/>
      </w:r>
    </w:p>
  </w:endnote>
  <w:endnote w:type="continuationSeparator" w:id="0">
    <w:p w14:paraId="60322163" w14:textId="77777777" w:rsidR="00251837" w:rsidRDefault="0025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5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6" w14:textId="3AC570FD" w:rsidR="00AD4AFC" w:rsidRDefault="001C5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7455">
      <w:rPr>
        <w:noProof/>
        <w:color w:val="000000"/>
      </w:rPr>
      <w:t>1</w:t>
    </w:r>
    <w:r>
      <w:rPr>
        <w:color w:val="000000"/>
      </w:rPr>
      <w:fldChar w:fldCharType="end"/>
    </w:r>
  </w:p>
  <w:p w14:paraId="16ACA707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9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E437" w14:textId="77777777" w:rsidR="00251837" w:rsidRDefault="00251837">
      <w:r>
        <w:separator/>
      </w:r>
    </w:p>
  </w:footnote>
  <w:footnote w:type="continuationSeparator" w:id="0">
    <w:p w14:paraId="38640E86" w14:textId="77777777" w:rsidR="00251837" w:rsidRDefault="0025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1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2" w14:textId="77777777" w:rsidR="00AD4AFC" w:rsidRDefault="001C52F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ACA70A" wp14:editId="16ACA70B">
          <wp:simplePos x="0" y="0"/>
          <wp:positionH relativeFrom="column">
            <wp:posOffset>4114800</wp:posOffset>
          </wp:positionH>
          <wp:positionV relativeFrom="paragraph">
            <wp:posOffset>-304786</wp:posOffset>
          </wp:positionV>
          <wp:extent cx="1547842" cy="997267"/>
          <wp:effectExtent l="0" t="0" r="0" b="0"/>
          <wp:wrapSquare wrapText="bothSides" distT="114300" distB="11430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ACA703" w14:textId="77777777" w:rsidR="00AD4AFC" w:rsidRDefault="001C52F4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16ACA704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708" w14:textId="77777777" w:rsidR="00AD4AFC" w:rsidRDefault="00AD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84DB5"/>
    <w:multiLevelType w:val="multilevel"/>
    <w:tmpl w:val="BF4C3C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13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FC"/>
    <w:rsid w:val="001C52F4"/>
    <w:rsid w:val="00251837"/>
    <w:rsid w:val="00267455"/>
    <w:rsid w:val="004A0D65"/>
    <w:rsid w:val="00AD4AFC"/>
    <w:rsid w:val="0C146FE4"/>
    <w:rsid w:val="0E878397"/>
    <w:rsid w:val="19072F68"/>
    <w:rsid w:val="258ACAF9"/>
    <w:rsid w:val="34F8E155"/>
    <w:rsid w:val="3DB73F7D"/>
    <w:rsid w:val="4143F161"/>
    <w:rsid w:val="5E18E90D"/>
    <w:rsid w:val="5FD30BCF"/>
    <w:rsid w:val="62584F95"/>
    <w:rsid w:val="7C9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A6D9"/>
  <w15:docId w15:val="{CD31DAF3-982C-4F31-83B2-248FA31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0">
    <w:name w:val="Table Normal10"/>
    <w:rsid w:val="00FB6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cn-cert.cni.es/e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ac.e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D579-E680-445E-991B-A9181B21E0B2}"/>
      </w:docPartPr>
      <w:docPartBody>
        <w:p w:rsidR="007C3294" w:rsidRDefault="007C32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294"/>
    <w:rsid w:val="007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SusSAsmdbEhVSz4upW/dbjArBQ==">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A2C8A5-136F-4274-9321-CC3F70EDC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6813F-7B3B-4C5A-80AE-C6B3C770E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63507-C38B-4A27-852F-8CF3E4C1AD2B}">
  <ds:schemaRefs>
    <ds:schemaRef ds:uri="http://purl.org/dc/dcmitype/"/>
    <ds:schemaRef ds:uri="6e290ce1-b2e7-4ccb-948d-a290ef611fa1"/>
    <ds:schemaRef ds:uri="http://schemas.microsoft.com/office/2006/documentManagement/types"/>
    <ds:schemaRef ds:uri="http://schemas.microsoft.com/office/2006/metadata/properties"/>
    <ds:schemaRef ds:uri="http://purl.org/dc/terms/"/>
    <ds:schemaRef ds:uri="909e21e3-a2e2-47ca-be0e-9c3a9bef929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5</cp:revision>
  <dcterms:created xsi:type="dcterms:W3CDTF">2023-05-04T08:41:00Z</dcterms:created>
  <dcterms:modified xsi:type="dcterms:W3CDTF">2024-01-23T07:29:00Z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