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body>
    <w:p w:rsidR="00D93B14" w:rsidRDefault="00D93B14" w14:paraId="00000002" w14:textId="77777777">
      <w:pPr>
        <w:pStyle w:val="Normal1"/>
        <w:rPr>
          <w:rFonts w:ascii="Roboto" w:hAnsi="Roboto" w:eastAsia="Roboto" w:cs="Roboto"/>
          <w:b/>
          <w:sz w:val="20"/>
          <w:szCs w:val="20"/>
        </w:rPr>
      </w:pPr>
    </w:p>
    <w:p w:rsidR="00D93B14" w:rsidRDefault="00D93B14" w14:paraId="00000003" w14:textId="77777777">
      <w:pPr>
        <w:pStyle w:val="Normal1"/>
        <w:rPr>
          <w:rFonts w:ascii="Roboto" w:hAnsi="Roboto" w:eastAsia="Roboto" w:cs="Roboto"/>
          <w:b/>
          <w:sz w:val="20"/>
          <w:szCs w:val="20"/>
          <w:u w:val="single"/>
        </w:rPr>
      </w:pPr>
    </w:p>
    <w:p w:rsidR="00D93B14" w:rsidRDefault="00BF4C4E" w14:paraId="00000004" w14:textId="77777777">
      <w:pPr>
        <w:pStyle w:val="Normal1"/>
        <w:jc w:val="center"/>
        <w:rPr>
          <w:rFonts w:ascii="Roboto" w:hAnsi="Roboto" w:eastAsia="Roboto" w:cs="Roboto"/>
          <w:b/>
          <w:sz w:val="38"/>
          <w:szCs w:val="38"/>
        </w:rPr>
      </w:pPr>
      <w:r>
        <w:rPr>
          <w:rFonts w:ascii="Roboto" w:hAnsi="Roboto" w:eastAsia="Roboto" w:cs="Roboto"/>
          <w:b/>
          <w:sz w:val="38"/>
          <w:szCs w:val="38"/>
        </w:rPr>
        <w:t xml:space="preserve">La acreditación, requisito para los análisis de muestras de control de calidad en el nuevo Real Decreto de reutilización del agua </w:t>
      </w:r>
    </w:p>
    <w:p w:rsidR="00D93B14" w:rsidRDefault="00D93B14" w14:paraId="00000005" w14:textId="77777777">
      <w:pPr>
        <w:pStyle w:val="Normal1"/>
        <w:jc w:val="center"/>
        <w:rPr>
          <w:rFonts w:ascii="Roboto" w:hAnsi="Roboto" w:eastAsia="Roboto" w:cs="Roboto"/>
          <w:b/>
          <w:sz w:val="20"/>
          <w:szCs w:val="20"/>
          <w:u w:val="single"/>
        </w:rPr>
      </w:pPr>
    </w:p>
    <w:p w:rsidR="00D93B14" w:rsidRDefault="00BF4C4E" w14:paraId="00000007" w14:textId="77777777">
      <w:pPr>
        <w:pStyle w:val="Normal1"/>
        <w:numPr>
          <w:ilvl w:val="0"/>
          <w:numId w:val="1"/>
        </w:numPr>
        <w:spacing w:after="160" w:line="259" w:lineRule="auto"/>
        <w:jc w:val="both"/>
        <w:rPr>
          <w:rFonts w:ascii="Roboto" w:hAnsi="Roboto" w:eastAsia="Roboto" w:cs="Roboto"/>
          <w:b/>
        </w:rPr>
      </w:pPr>
      <w:r>
        <w:rPr>
          <w:rFonts w:ascii="Roboto" w:hAnsi="Roboto" w:eastAsia="Roboto" w:cs="Roboto"/>
          <w:b/>
          <w:sz w:val="22"/>
          <w:szCs w:val="22"/>
        </w:rPr>
        <w:t>El mercado cuenta ya con entidades acreditadas para las citadas actividades y ENAC se encuentra en disposición de acreditar a las entidades interesadas en iniciar el proceso</w:t>
      </w:r>
    </w:p>
    <w:p w:rsidR="00D93B14" w:rsidRDefault="00D93B14" w14:paraId="00000008" w14:textId="77777777">
      <w:pPr>
        <w:pStyle w:val="Normal1"/>
        <w:ind w:left="720"/>
        <w:jc w:val="both"/>
        <w:rPr>
          <w:rFonts w:ascii="Roboto" w:hAnsi="Roboto" w:eastAsia="Roboto" w:cs="Roboto"/>
          <w:b/>
          <w:sz w:val="20"/>
          <w:szCs w:val="20"/>
        </w:rPr>
      </w:pPr>
    </w:p>
    <w:p w:rsidR="4665C0F8" w:rsidP="00D1B126" w:rsidRDefault="4665C0F8" w14:paraId="358F08FC" w14:textId="44B6A9BA">
      <w:pPr>
        <w:spacing w:before="0" w:beforeAutospacing="off" w:after="0" w:afterAutospacing="off"/>
        <w:jc w:val="both"/>
      </w:pPr>
      <w:r w:rsidRPr="00D1B126" w:rsidR="4665C0F8">
        <w:rPr>
          <w:rFonts w:ascii="Roboto" w:hAnsi="Roboto" w:eastAsia="Roboto" w:cs="Roboto"/>
          <w:b w:val="0"/>
          <w:bCs w:val="0"/>
          <w:i w:val="0"/>
          <w:iCs w:val="0"/>
          <w:strike w:val="0"/>
          <w:dstrike w:val="0"/>
          <w:noProof w:val="0"/>
          <w:color w:val="000000" w:themeColor="text1" w:themeTint="FF" w:themeShade="FF"/>
          <w:sz w:val="22"/>
          <w:szCs w:val="22"/>
          <w:u w:val="none"/>
          <w:lang w:val="es-ES"/>
        </w:rPr>
        <w:t xml:space="preserve">Madrid, 7 de noviembre de 2024.- El Real Decreto 1085/2024, por el que se aprueba el Reglamento de reutilización del agua y que desarrolla el régimen jurídico establecido en la Ley de </w:t>
      </w:r>
      <w:r w:rsidRPr="00D1B126" w:rsidR="4665C0F8">
        <w:rPr>
          <w:rFonts w:ascii="Roboto" w:hAnsi="Roboto" w:eastAsia="Roboto" w:cs="Roboto"/>
          <w:b w:val="0"/>
          <w:bCs w:val="0"/>
          <w:i w:val="0"/>
          <w:iCs w:val="0"/>
          <w:strike w:val="0"/>
          <w:dstrike w:val="0"/>
          <w:noProof w:val="0"/>
          <w:color w:val="000000" w:themeColor="text1" w:themeTint="FF" w:themeShade="FF"/>
          <w:sz w:val="22"/>
          <w:szCs w:val="22"/>
          <w:u w:val="none"/>
          <w:lang w:val="es-ES"/>
        </w:rPr>
        <w:t>Aguas, publicado</w:t>
      </w:r>
      <w:r w:rsidRPr="00D1B126" w:rsidR="4665C0F8">
        <w:rPr>
          <w:rFonts w:ascii="Roboto" w:hAnsi="Roboto" w:eastAsia="Roboto" w:cs="Roboto"/>
          <w:b w:val="0"/>
          <w:bCs w:val="0"/>
          <w:i w:val="0"/>
          <w:iCs w:val="0"/>
          <w:strike w:val="0"/>
          <w:dstrike w:val="0"/>
          <w:noProof w:val="0"/>
          <w:color w:val="000000" w:themeColor="text1" w:themeTint="FF" w:themeShade="FF"/>
          <w:sz w:val="22"/>
          <w:szCs w:val="22"/>
          <w:u w:val="none"/>
          <w:lang w:val="es-ES"/>
        </w:rPr>
        <w:t xml:space="preserve"> recientemente</w:t>
      </w:r>
      <w:r w:rsidRPr="00D1B126" w:rsidR="4665C0F8">
        <w:rPr>
          <w:rFonts w:ascii="Roboto" w:hAnsi="Roboto" w:eastAsia="Roboto" w:cs="Roboto"/>
          <w:b w:val="1"/>
          <w:bCs w:val="1"/>
          <w:i w:val="0"/>
          <w:iCs w:val="0"/>
          <w:strike w:val="0"/>
          <w:dstrike w:val="0"/>
          <w:noProof w:val="0"/>
          <w:color w:val="000000" w:themeColor="text1" w:themeTint="FF" w:themeShade="FF"/>
          <w:sz w:val="22"/>
          <w:szCs w:val="22"/>
          <w:u w:val="none"/>
          <w:lang w:val="es-ES"/>
        </w:rPr>
        <w:t>, incluye, entre sus requisitos, la acreditación para un efectivo control de las aguas reutilizadas</w:t>
      </w:r>
      <w:r w:rsidRPr="00D1B126" w:rsidR="4665C0F8">
        <w:rPr>
          <w:rFonts w:ascii="Roboto" w:hAnsi="Roboto" w:eastAsia="Roboto" w:cs="Roboto"/>
          <w:b w:val="0"/>
          <w:bCs w:val="0"/>
          <w:i w:val="0"/>
          <w:iCs w:val="0"/>
          <w:strike w:val="0"/>
          <w:dstrike w:val="0"/>
          <w:noProof w:val="0"/>
          <w:color w:val="000000" w:themeColor="text1" w:themeTint="FF" w:themeShade="FF"/>
          <w:sz w:val="22"/>
          <w:szCs w:val="22"/>
          <w:u w:val="none"/>
          <w:lang w:val="es-ES"/>
        </w:rPr>
        <w:t>.</w:t>
      </w:r>
    </w:p>
    <w:p w:rsidR="00D1B126" w:rsidRDefault="00D1B126" w14:paraId="29BA4A99" w14:textId="5EB1CD38"/>
    <w:p w:rsidR="4665C0F8" w:rsidP="00D1B126" w:rsidRDefault="4665C0F8" w14:paraId="06FAEC42" w14:textId="2ABF7425">
      <w:pPr>
        <w:spacing w:before="0" w:beforeAutospacing="off" w:after="160" w:afterAutospacing="off"/>
        <w:jc w:val="both"/>
      </w:pPr>
      <w:r w:rsidRPr="00D1B126" w:rsidR="4665C0F8">
        <w:rPr>
          <w:rFonts w:ascii="Roboto" w:hAnsi="Roboto" w:eastAsia="Roboto" w:cs="Roboto"/>
          <w:b w:val="0"/>
          <w:bCs w:val="0"/>
          <w:i w:val="0"/>
          <w:iCs w:val="0"/>
          <w:strike w:val="0"/>
          <w:dstrike w:val="0"/>
          <w:noProof w:val="0"/>
          <w:color w:val="000000" w:themeColor="text1" w:themeTint="FF" w:themeShade="FF"/>
          <w:sz w:val="22"/>
          <w:szCs w:val="22"/>
          <w:u w:val="none"/>
          <w:lang w:val="es-ES"/>
        </w:rPr>
        <w:t xml:space="preserve">En concreto, el Anexo II sobre el control de la calidad de las aguas reutilizadas establece que ésta se valorará mediante el análisis de muestras tomadas sistemáticamente y que </w:t>
      </w:r>
      <w:r w:rsidRPr="00D1B126" w:rsidR="4665C0F8">
        <w:rPr>
          <w:rFonts w:ascii="Roboto" w:hAnsi="Roboto" w:eastAsia="Roboto" w:cs="Roboto"/>
          <w:b w:val="1"/>
          <w:bCs w:val="1"/>
          <w:i w:val="0"/>
          <w:iCs w:val="0"/>
          <w:strike w:val="0"/>
          <w:dstrike w:val="0"/>
          <w:noProof w:val="0"/>
          <w:color w:val="000000" w:themeColor="text1" w:themeTint="FF" w:themeShade="FF"/>
          <w:sz w:val="22"/>
          <w:szCs w:val="22"/>
          <w:u w:val="none"/>
          <w:lang w:val="es-ES"/>
        </w:rPr>
        <w:t>deberán ser realizados en laboratorios de ensayo acreditados conforme a la norma UNE-EN ISO/IEC 17025.</w:t>
      </w:r>
    </w:p>
    <w:p w:rsidR="4665C0F8" w:rsidP="00D1B126" w:rsidRDefault="4665C0F8" w14:paraId="2506693D" w14:textId="71E973D4">
      <w:pPr>
        <w:spacing w:before="0" w:beforeAutospacing="off" w:after="160" w:afterAutospacing="off"/>
        <w:jc w:val="both"/>
      </w:pPr>
      <w:r w:rsidRPr="00D1B126" w:rsidR="4665C0F8">
        <w:rPr>
          <w:rFonts w:ascii="Roboto" w:hAnsi="Roboto" w:eastAsia="Roboto" w:cs="Roboto"/>
          <w:b w:val="0"/>
          <w:bCs w:val="0"/>
          <w:i w:val="0"/>
          <w:iCs w:val="0"/>
          <w:strike w:val="0"/>
          <w:dstrike w:val="0"/>
          <w:noProof w:val="0"/>
          <w:color w:val="000000" w:themeColor="text1" w:themeTint="FF" w:themeShade="FF"/>
          <w:sz w:val="22"/>
          <w:szCs w:val="22"/>
          <w:u w:val="none"/>
          <w:lang w:val="es-ES"/>
        </w:rPr>
        <w:t xml:space="preserve">Actualmente, el mercado cuenta ya con entidades acreditadas para las citadas actividades y la </w:t>
      </w:r>
      <w:hyperlink r:id="R03574e6496bd4fcd">
        <w:r w:rsidRPr="00D1B126" w:rsidR="4665C0F8">
          <w:rPr>
            <w:rStyle w:val="Hipervnculo"/>
            <w:rFonts w:ascii="Roboto" w:hAnsi="Roboto" w:eastAsia="Roboto" w:cs="Roboto"/>
            <w:b w:val="0"/>
            <w:bCs w:val="0"/>
            <w:i w:val="0"/>
            <w:iCs w:val="0"/>
            <w:strike w:val="0"/>
            <w:dstrike w:val="0"/>
            <w:noProof w:val="0"/>
            <w:color w:val="1155CC"/>
            <w:sz w:val="22"/>
            <w:szCs w:val="22"/>
            <w:u w:val="none"/>
            <w:lang w:val="es-ES"/>
          </w:rPr>
          <w:t>Entidad Nacional de Acreditación</w:t>
        </w:r>
      </w:hyperlink>
      <w:r w:rsidRPr="00D1B126" w:rsidR="4665C0F8">
        <w:rPr>
          <w:rFonts w:ascii="Roboto" w:hAnsi="Roboto" w:eastAsia="Roboto" w:cs="Roboto"/>
          <w:b w:val="0"/>
          <w:bCs w:val="0"/>
          <w:i w:val="0"/>
          <w:iCs w:val="0"/>
          <w:strike w:val="0"/>
          <w:dstrike w:val="0"/>
          <w:noProof w:val="0"/>
          <w:color w:val="000000" w:themeColor="text1" w:themeTint="FF" w:themeShade="FF"/>
          <w:sz w:val="22"/>
          <w:szCs w:val="22"/>
          <w:u w:val="none"/>
          <w:lang w:val="es-ES"/>
        </w:rPr>
        <w:t xml:space="preserve"> (ENAC) se encuentra en disposición de acreditar a las entidades interesadas en iniciar el proceso. </w:t>
      </w:r>
    </w:p>
    <w:p w:rsidR="4665C0F8" w:rsidP="00D1B126" w:rsidRDefault="4665C0F8" w14:paraId="124F656D" w14:textId="72330512">
      <w:pPr>
        <w:spacing w:before="0" w:beforeAutospacing="off" w:after="160" w:afterAutospacing="off"/>
      </w:pPr>
      <w:r w:rsidRPr="00D1B126" w:rsidR="4665C0F8">
        <w:rPr>
          <w:rFonts w:ascii="Roboto" w:hAnsi="Roboto" w:eastAsia="Roboto" w:cs="Roboto"/>
          <w:b w:val="1"/>
          <w:bCs w:val="1"/>
          <w:i w:val="0"/>
          <w:iCs w:val="0"/>
          <w:strike w:val="0"/>
          <w:dstrike w:val="0"/>
          <w:noProof w:val="0"/>
          <w:color w:val="000000" w:themeColor="text1" w:themeTint="FF" w:themeShade="FF"/>
          <w:sz w:val="22"/>
          <w:szCs w:val="22"/>
          <w:u w:val="none"/>
          <w:lang w:val="es-ES"/>
        </w:rPr>
        <w:t xml:space="preserve">La acreditación al servicio de la reutilización efectiva de las aguas </w:t>
      </w:r>
    </w:p>
    <w:p w:rsidR="4665C0F8" w:rsidP="00D1B126" w:rsidRDefault="4665C0F8" w14:paraId="06D0922D" w14:textId="2E5E8C5D">
      <w:pPr>
        <w:spacing w:before="0" w:beforeAutospacing="off" w:after="160" w:afterAutospacing="off"/>
        <w:jc w:val="both"/>
      </w:pPr>
      <w:r w:rsidRPr="00D1B126" w:rsidR="4665C0F8">
        <w:rPr>
          <w:rFonts w:ascii="Roboto" w:hAnsi="Roboto" w:eastAsia="Roboto" w:cs="Roboto"/>
          <w:b w:val="0"/>
          <w:bCs w:val="0"/>
          <w:i w:val="0"/>
          <w:iCs w:val="0"/>
          <w:strike w:val="0"/>
          <w:dstrike w:val="0"/>
          <w:noProof w:val="0"/>
          <w:color w:val="000000" w:themeColor="text1" w:themeTint="FF" w:themeShade="FF"/>
          <w:sz w:val="22"/>
          <w:szCs w:val="22"/>
          <w:u w:val="none"/>
          <w:lang w:val="es-ES"/>
        </w:rPr>
        <w:t>La reutilización de las aguas se ha convertido en una importante fuente de suministro de agua permitiendo liberar otros recursos destinados a otros usos más exigentes, como el abastecimiento de agua potable, además de proporcionar una mayor fiabilidad y regularidad del suministro y reducir las presiones sobre las masas de agua, contribuyendo al cumplimiento de los objetivos medioambientales y a la reducción de la vulnerabilidad frente a los impactos del cambio climático.</w:t>
      </w:r>
    </w:p>
    <w:p w:rsidR="4665C0F8" w:rsidP="00D1B126" w:rsidRDefault="4665C0F8" w14:paraId="515C03A8" w14:textId="636CB503">
      <w:pPr>
        <w:spacing w:before="0" w:beforeAutospacing="off" w:after="160" w:afterAutospacing="off"/>
        <w:jc w:val="both"/>
      </w:pPr>
      <w:r w:rsidRPr="00D1B126" w:rsidR="4665C0F8">
        <w:rPr>
          <w:rFonts w:ascii="Roboto" w:hAnsi="Roboto" w:eastAsia="Roboto" w:cs="Roboto"/>
          <w:b w:val="0"/>
          <w:bCs w:val="0"/>
          <w:i w:val="0"/>
          <w:iCs w:val="0"/>
          <w:strike w:val="0"/>
          <w:dstrike w:val="0"/>
          <w:noProof w:val="0"/>
          <w:color w:val="000000" w:themeColor="text1" w:themeTint="FF" w:themeShade="FF"/>
          <w:sz w:val="22"/>
          <w:szCs w:val="22"/>
          <w:u w:val="none"/>
          <w:lang w:val="es-ES"/>
        </w:rPr>
        <w:t xml:space="preserve">Para una efectiva recuperación de las aguas, </w:t>
      </w:r>
      <w:r w:rsidRPr="00D1B126" w:rsidR="4665C0F8">
        <w:rPr>
          <w:rFonts w:ascii="Roboto" w:hAnsi="Roboto" w:eastAsia="Roboto" w:cs="Roboto"/>
          <w:b w:val="1"/>
          <w:bCs w:val="1"/>
          <w:i w:val="0"/>
          <w:iCs w:val="0"/>
          <w:strike w:val="0"/>
          <w:dstrike w:val="0"/>
          <w:noProof w:val="0"/>
          <w:color w:val="000000" w:themeColor="text1" w:themeTint="FF" w:themeShade="FF"/>
          <w:sz w:val="22"/>
          <w:szCs w:val="22"/>
          <w:u w:val="none"/>
          <w:lang w:val="es-ES"/>
        </w:rPr>
        <w:t xml:space="preserve">es necesario que los controles de las </w:t>
      </w:r>
      <w:bookmarkStart w:name="_Int_NMgNwA75" w:id="1776524420"/>
      <w:r w:rsidRPr="00D1B126" w:rsidR="4665C0F8">
        <w:rPr>
          <w:rFonts w:ascii="Roboto" w:hAnsi="Roboto" w:eastAsia="Roboto" w:cs="Roboto"/>
          <w:b w:val="1"/>
          <w:bCs w:val="1"/>
          <w:i w:val="0"/>
          <w:iCs w:val="0"/>
          <w:strike w:val="0"/>
          <w:dstrike w:val="0"/>
          <w:noProof w:val="0"/>
          <w:color w:val="000000" w:themeColor="text1" w:themeTint="FF" w:themeShade="FF"/>
          <w:sz w:val="22"/>
          <w:szCs w:val="22"/>
          <w:u w:val="none"/>
          <w:lang w:val="es-ES"/>
        </w:rPr>
        <w:t>mismas,</w:t>
      </w:r>
      <w:bookmarkEnd w:id="1776524420"/>
      <w:r w:rsidRPr="00D1B126" w:rsidR="4665C0F8">
        <w:rPr>
          <w:rFonts w:ascii="Roboto" w:hAnsi="Roboto" w:eastAsia="Roboto" w:cs="Roboto"/>
          <w:b w:val="1"/>
          <w:bCs w:val="1"/>
          <w:i w:val="0"/>
          <w:iCs w:val="0"/>
          <w:strike w:val="0"/>
          <w:dstrike w:val="0"/>
          <w:noProof w:val="0"/>
          <w:color w:val="000000" w:themeColor="text1" w:themeTint="FF" w:themeShade="FF"/>
          <w:sz w:val="22"/>
          <w:szCs w:val="22"/>
          <w:u w:val="none"/>
          <w:lang w:val="es-ES"/>
        </w:rPr>
        <w:t xml:space="preserve"> sean realizados por entidades con competencia técnica demostrada para hacer su actividad</w:t>
      </w:r>
      <w:r w:rsidRPr="00D1B126" w:rsidR="4665C0F8">
        <w:rPr>
          <w:rFonts w:ascii="Roboto" w:hAnsi="Roboto" w:eastAsia="Roboto" w:cs="Roboto"/>
          <w:b w:val="0"/>
          <w:bCs w:val="0"/>
          <w:i w:val="0"/>
          <w:iCs w:val="0"/>
          <w:strike w:val="0"/>
          <w:dstrike w:val="0"/>
          <w:noProof w:val="0"/>
          <w:color w:val="000000" w:themeColor="text1" w:themeTint="FF" w:themeShade="FF"/>
          <w:sz w:val="22"/>
          <w:szCs w:val="22"/>
          <w:u w:val="none"/>
          <w:lang w:val="es-ES"/>
        </w:rPr>
        <w:t>. En este sentido, la acreditación es la herramienta al servicio de las administraciones públicas para aportar dicha confianza, ya que es mecanismo utilizado en todo el mundo para determinar si los organismos de evaluación disponen de personal con los conocimientos técnicos y la experiencia adecuados y del equipamiento y de las infraestructuras necesarias y adecuadas para desarrollar sus actividades; aplican métodos y procedimientos de evaluación válidos y apropiados; emplea técnicas de evaluación de la calidad de los resultados; e informan adecuadamente de los resultados de sus actividades, emitiendo informes o certificados claros y precisos.</w:t>
      </w:r>
    </w:p>
    <w:p w:rsidR="4665C0F8" w:rsidP="00D1B126" w:rsidRDefault="4665C0F8" w14:paraId="61426F30" w14:textId="775459AF">
      <w:pPr>
        <w:spacing w:before="0" w:beforeAutospacing="off" w:after="120" w:afterAutospacing="off"/>
        <w:jc w:val="both"/>
      </w:pPr>
      <w:r w:rsidRPr="00D1B126" w:rsidR="4665C0F8">
        <w:rPr>
          <w:rFonts w:ascii="Roboto" w:hAnsi="Roboto" w:eastAsia="Roboto" w:cs="Roboto"/>
          <w:b w:val="0"/>
          <w:bCs w:val="0"/>
          <w:i w:val="0"/>
          <w:iCs w:val="0"/>
          <w:strike w:val="0"/>
          <w:dstrike w:val="0"/>
          <w:noProof w:val="0"/>
          <w:color w:val="000000" w:themeColor="text1" w:themeTint="FF" w:themeShade="FF"/>
          <w:sz w:val="22"/>
          <w:szCs w:val="22"/>
          <w:u w:val="none"/>
          <w:lang w:val="es-ES"/>
        </w:rPr>
        <w:t>Esa demostración la realizan los organismos nacionales de acreditación (ENAC, en España), que son las instituciones encargadas de llevar a cabo esas evaluaciones en base a normas internacionales y con un equipo auditor altamente especializado que son referencia en la actividad a evaluar, y que tienen el conocimiento suficiente como para emitir un juicio profesional sobre si dicha actividad se está ejecutando con el nivel de competencia y calidad exigible.</w:t>
      </w:r>
    </w:p>
    <w:p w:rsidR="00D1B126" w:rsidP="00D1B126" w:rsidRDefault="00D1B126" w14:paraId="4260C7EB" w14:textId="04A55ADB">
      <w:pPr>
        <w:pStyle w:val="Normal1"/>
        <w:jc w:val="both"/>
        <w:rPr>
          <w:rFonts w:ascii="Roboto" w:hAnsi="Roboto" w:eastAsia="Roboto" w:cs="Roboto"/>
          <w:b w:val="1"/>
          <w:bCs w:val="1"/>
          <w:color w:val="E83544"/>
          <w:sz w:val="22"/>
          <w:szCs w:val="22"/>
        </w:rPr>
      </w:pPr>
    </w:p>
    <w:p w:rsidR="00D93B14" w:rsidRDefault="00BF4C4E" w14:paraId="00000013" w14:textId="77777777">
      <w:pPr>
        <w:pStyle w:val="Normal1"/>
        <w:jc w:val="both"/>
        <w:rPr>
          <w:rFonts w:ascii="Roboto" w:hAnsi="Roboto" w:eastAsia="Roboto" w:cs="Roboto"/>
          <w:b/>
          <w:color w:val="E83544"/>
          <w:sz w:val="22"/>
          <w:szCs w:val="22"/>
        </w:rPr>
      </w:pPr>
      <w:r>
        <w:rPr>
          <w:rFonts w:ascii="Roboto" w:hAnsi="Roboto" w:eastAsia="Roboto" w:cs="Roboto"/>
          <w:b/>
          <w:color w:val="E83544"/>
          <w:sz w:val="22"/>
          <w:szCs w:val="22"/>
        </w:rPr>
        <w:t>Sobre ENAC</w:t>
      </w:r>
    </w:p>
    <w:p w:rsidR="00D93B14" w:rsidRDefault="00D93B14" w14:paraId="00000014" w14:textId="77777777">
      <w:pPr>
        <w:pStyle w:val="Normal1"/>
        <w:jc w:val="both"/>
        <w:rPr>
          <w:rFonts w:ascii="Roboto" w:hAnsi="Roboto" w:eastAsia="Roboto" w:cs="Roboto"/>
          <w:b/>
          <w:color w:val="E83544"/>
          <w:sz w:val="22"/>
          <w:szCs w:val="22"/>
        </w:rPr>
      </w:pPr>
    </w:p>
    <w:p w:rsidR="00D93B14" w:rsidRDefault="00BF4C4E" w14:paraId="00000015" w14:textId="77777777">
      <w:pPr>
        <w:pStyle w:val="Normal1"/>
        <w:jc w:val="both"/>
        <w:rPr>
          <w:rFonts w:ascii="Roboto" w:hAnsi="Roboto" w:eastAsia="Roboto" w:cs="Roboto"/>
          <w:sz w:val="22"/>
          <w:szCs w:val="22"/>
        </w:rPr>
      </w:pPr>
      <w:r>
        <w:rPr>
          <w:rFonts w:ascii="Roboto" w:hAnsi="Roboto" w:eastAsia="Roboto" w:cs="Roboto"/>
          <w:sz w:val="22"/>
          <w:szCs w:val="22"/>
        </w:rPr>
        <w:t>La Entidad Nacional de Acreditación – ENAC – es la entidad designada por el Gobierno para operar en España como el único Organismo Nacional de Acreditación, en aplicación del Reglamento (CE) nº765/2008 del Parlamento Europeo que regula el funcionamiento de la acreditación en Europa.</w:t>
      </w:r>
    </w:p>
    <w:p w:rsidR="00D93B14" w:rsidRDefault="00D93B14" w14:paraId="00000016" w14:textId="77777777">
      <w:pPr>
        <w:pStyle w:val="Normal1"/>
        <w:jc w:val="both"/>
        <w:rPr>
          <w:rFonts w:ascii="Roboto" w:hAnsi="Roboto" w:eastAsia="Roboto" w:cs="Roboto"/>
          <w:sz w:val="22"/>
          <w:szCs w:val="22"/>
        </w:rPr>
      </w:pPr>
    </w:p>
    <w:p w:rsidR="00D93B14" w:rsidRDefault="00BF4C4E" w14:paraId="00000017" w14:textId="77777777">
      <w:pPr>
        <w:pStyle w:val="Normal1"/>
        <w:jc w:val="both"/>
        <w:rPr>
          <w:rFonts w:ascii="Roboto" w:hAnsi="Roboto" w:eastAsia="Roboto" w:cs="Roboto"/>
          <w:sz w:val="22"/>
          <w:szCs w:val="22"/>
        </w:rPr>
      </w:pPr>
      <w:r>
        <w:rPr>
          <w:rFonts w:ascii="Roboto" w:hAnsi="Roboto" w:eastAsia="Roboto" w:cs="Roboto"/>
          <w:sz w:val="22"/>
          <w:szCs w:val="22"/>
        </w:rPr>
        <w:t>ENAC tiene como misión generar confianza en el mercado y en la sociedad evaluando, a través de un sistema conforme a normas internacionales, la competencia técnica de laboratorios de ensayo o calibración, entidades de inspección, entidades de certificación y verificadores medioambientales que desarrollen su actividad en cualquier sector: industria,  energía, medio ambiente, sanidad, alimentación, investigación, desarrollo e innovación, transportes, telecomunicaciones, turismo, servicios, construcción, etc. </w:t>
      </w:r>
      <w:r>
        <w:rPr>
          <w:rFonts w:ascii="Roboto" w:hAnsi="Roboto" w:eastAsia="Roboto" w:cs="Roboto"/>
          <w:sz w:val="22"/>
          <w:szCs w:val="22"/>
        </w:rPr>
        <w:t>Contribuye, así, a la seguridad y el bienestar de las personas, la calidad de los productos y servicios, la protección del medioambiente y, con ello, al aumento de la competitividad de los productos y servicios españoles y a una disminución de los costes para la sociedad debidos a estas actividades. </w:t>
      </w:r>
    </w:p>
    <w:p w:rsidR="00D93B14" w:rsidRDefault="00BF4C4E" w14:paraId="00000018" w14:textId="77777777">
      <w:pPr>
        <w:pStyle w:val="Normal1"/>
        <w:jc w:val="both"/>
        <w:rPr>
          <w:rFonts w:ascii="Roboto" w:hAnsi="Roboto" w:eastAsia="Roboto" w:cs="Roboto"/>
          <w:sz w:val="22"/>
          <w:szCs w:val="22"/>
        </w:rPr>
      </w:pPr>
      <w:r>
        <w:rPr>
          <w:rFonts w:ascii="Roboto" w:hAnsi="Roboto" w:eastAsia="Roboto" w:cs="Roboto"/>
          <w:sz w:val="22"/>
          <w:szCs w:val="22"/>
        </w:rPr>
        <w:t> </w:t>
      </w:r>
    </w:p>
    <w:p w:rsidR="00D93B14" w:rsidRDefault="00BF4C4E" w14:paraId="00000019" w14:textId="77777777">
      <w:pPr>
        <w:pStyle w:val="Normal1"/>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 xml:space="preserve">La marca ENAC es la manera de distinguir si un certificado o informe está acreditado o no. Aporta confianza en que la organización que lo emite es técnicamente competente para llevar a cabo la tarea que realiza, y lo es tanto en España como en los 120 países en los que la marca de ENAC es reconocida y aceptada gracias a los acuerdos de reconocimiento que ENAC ha suscrito con las entidades de acreditación de esos países. </w:t>
      </w:r>
    </w:p>
    <w:p w:rsidR="00D93B14" w:rsidRDefault="00D93B14" w14:paraId="0000001A" w14:textId="77777777">
      <w:pPr>
        <w:pStyle w:val="Normal1"/>
        <w:jc w:val="both"/>
        <w:rPr>
          <w:rFonts w:ascii="Roboto" w:hAnsi="Roboto" w:eastAsia="Roboto" w:cs="Roboto"/>
          <w:sz w:val="22"/>
          <w:szCs w:val="22"/>
        </w:rPr>
      </w:pPr>
    </w:p>
    <w:p w:rsidR="00D93B14" w:rsidRDefault="00BF4C4E" w14:paraId="0000001C" w14:textId="77777777">
      <w:pPr>
        <w:pStyle w:val="Normal1"/>
        <w:pBdr>
          <w:bottom w:val="single" w:color="000000" w:sz="12" w:space="1"/>
        </w:pBdr>
        <w:jc w:val="both"/>
        <w:rPr>
          <w:rFonts w:ascii="Roboto" w:hAnsi="Roboto" w:eastAsia="Roboto" w:cs="Roboto"/>
          <w:color w:val="E83544"/>
          <w:sz w:val="22"/>
          <w:szCs w:val="22"/>
        </w:rPr>
      </w:pPr>
      <w:hyperlink r:id="rId11">
        <w:r>
          <w:rPr>
            <w:rFonts w:ascii="Roboto" w:hAnsi="Roboto" w:eastAsia="Roboto" w:cs="Roboto"/>
            <w:color w:val="E83544"/>
            <w:sz w:val="22"/>
            <w:szCs w:val="22"/>
            <w:u w:val="single"/>
          </w:rPr>
          <w:t>www.enac.es</w:t>
        </w:r>
      </w:hyperlink>
      <w:r>
        <w:rPr>
          <w:rFonts w:ascii="Roboto" w:hAnsi="Roboto" w:eastAsia="Roboto" w:cs="Roboto"/>
          <w:color w:val="E83544"/>
          <w:sz w:val="22"/>
          <w:szCs w:val="22"/>
        </w:rPr>
        <w:t xml:space="preserve"> </w:t>
      </w:r>
    </w:p>
    <w:p w:rsidR="00D93B14" w:rsidRDefault="00D93B14" w14:paraId="0000001D" w14:textId="77777777">
      <w:pPr>
        <w:pStyle w:val="Normal1"/>
        <w:pBdr>
          <w:bottom w:val="single" w:color="000000" w:sz="12" w:space="1"/>
        </w:pBdr>
        <w:jc w:val="both"/>
        <w:rPr>
          <w:rFonts w:ascii="Roboto" w:hAnsi="Roboto" w:eastAsia="Roboto" w:cs="Roboto"/>
          <w:color w:val="E83544"/>
          <w:sz w:val="22"/>
          <w:szCs w:val="22"/>
        </w:rPr>
      </w:pPr>
    </w:p>
    <w:p w:rsidR="00D93B14" w:rsidRDefault="00BF4C4E" w14:paraId="0000001E" w14:textId="77777777">
      <w:pPr>
        <w:pStyle w:val="Normal1"/>
        <w:pBdr>
          <w:bottom w:val="single" w:color="000000" w:sz="12" w:space="1"/>
        </w:pBdr>
        <w:jc w:val="both"/>
        <w:rPr>
          <w:rFonts w:ascii="Roboto" w:hAnsi="Roboto" w:eastAsia="Roboto" w:cs="Roboto"/>
          <w:sz w:val="22"/>
          <w:szCs w:val="22"/>
        </w:rPr>
      </w:pPr>
      <w:r>
        <w:rPr>
          <w:rFonts w:ascii="Roboto" w:hAnsi="Roboto" w:eastAsia="Roboto" w:cs="Roboto"/>
          <w:color w:val="0000FF"/>
          <w:sz w:val="22"/>
          <w:szCs w:val="22"/>
        </w:rPr>
        <w:t xml:space="preserve"> </w:t>
      </w:r>
      <w:r>
        <w:rPr>
          <w:rFonts w:ascii="Roboto" w:hAnsi="Roboto" w:eastAsia="Roboto" w:cs="Roboto"/>
          <w:noProof/>
          <w:color w:val="0000FF"/>
          <w:sz w:val="22"/>
          <w:szCs w:val="22"/>
        </w:rPr>
        <w:drawing>
          <wp:inline distT="114300" distB="114300" distL="114300" distR="114300" wp14:anchorId="2C14A6BF" wp14:editId="07777777">
            <wp:extent cx="309284" cy="309284"/>
            <wp:effectExtent l="0" t="0" r="0" b="0"/>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09284" cy="309284"/>
                    </a:xfrm>
                    <a:prstGeom prst="rect">
                      <a:avLst/>
                    </a:prstGeom>
                    <a:ln/>
                  </pic:spPr>
                </pic:pic>
              </a:graphicData>
            </a:graphic>
          </wp:inline>
        </w:drawing>
      </w:r>
      <w:r>
        <w:rPr>
          <w:rFonts w:ascii="Roboto" w:hAnsi="Roboto" w:eastAsia="Roboto" w:cs="Roboto"/>
          <w:color w:val="0000FF"/>
          <w:sz w:val="22"/>
          <w:szCs w:val="22"/>
        </w:rPr>
        <w:t xml:space="preserve">  </w:t>
      </w:r>
      <w:r>
        <w:rPr>
          <w:rFonts w:ascii="Roboto" w:hAnsi="Roboto" w:eastAsia="Roboto" w:cs="Roboto"/>
          <w:noProof/>
          <w:color w:val="0000FF"/>
          <w:sz w:val="22"/>
          <w:szCs w:val="22"/>
        </w:rPr>
        <w:drawing>
          <wp:inline distT="0" distB="0" distL="0" distR="0" wp14:anchorId="4B0A904C" wp14:editId="07777777">
            <wp:extent cx="304800" cy="304800"/>
            <wp:effectExtent l="0" t="0" r="0" b="0"/>
            <wp:docPr id="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04800" cy="304800"/>
                    </a:xfrm>
                    <a:prstGeom prst="rect">
                      <a:avLst/>
                    </a:prstGeom>
                    <a:ln/>
                  </pic:spPr>
                </pic:pic>
              </a:graphicData>
            </a:graphic>
          </wp:inline>
        </w:drawing>
      </w:r>
    </w:p>
    <w:p w:rsidR="00D93B14" w:rsidRDefault="00D93B14" w14:paraId="0000001F" w14:textId="77777777">
      <w:pPr>
        <w:pStyle w:val="Normal1"/>
        <w:pBdr>
          <w:bottom w:val="single" w:color="000000" w:sz="12" w:space="1"/>
        </w:pBdr>
        <w:jc w:val="both"/>
        <w:rPr>
          <w:rFonts w:ascii="Roboto" w:hAnsi="Roboto" w:eastAsia="Roboto" w:cs="Roboto"/>
          <w:color w:val="E83544"/>
          <w:sz w:val="22"/>
          <w:szCs w:val="22"/>
        </w:rPr>
      </w:pPr>
    </w:p>
    <w:p w:rsidR="00D93B14" w:rsidRDefault="00D93B14" w14:paraId="00000020" w14:textId="77777777">
      <w:pPr>
        <w:pStyle w:val="Normal1"/>
        <w:jc w:val="both"/>
        <w:rPr>
          <w:rFonts w:ascii="Roboto" w:hAnsi="Roboto" w:eastAsia="Roboto" w:cs="Roboto"/>
          <w:color w:val="E83544"/>
          <w:sz w:val="22"/>
          <w:szCs w:val="22"/>
        </w:rPr>
      </w:pPr>
    </w:p>
    <w:p w:rsidR="00D93B14" w:rsidRDefault="00BF4C4E" w14:paraId="00000021" w14:textId="77777777">
      <w:pPr>
        <w:pStyle w:val="Normal1"/>
        <w:jc w:val="both"/>
        <w:rPr>
          <w:rFonts w:ascii="Roboto" w:hAnsi="Roboto" w:eastAsia="Roboto" w:cs="Roboto"/>
          <w:sz w:val="22"/>
          <w:szCs w:val="22"/>
        </w:rPr>
      </w:pPr>
      <w:r>
        <w:rPr>
          <w:rFonts w:ascii="Roboto" w:hAnsi="Roboto" w:eastAsia="Roboto" w:cs="Roboto"/>
          <w:sz w:val="22"/>
          <w:szCs w:val="22"/>
        </w:rPr>
        <w:t>Para más información sobre la nota de prensa, resolver dudas o gestionar entrevistas</w:t>
      </w:r>
    </w:p>
    <w:p w:rsidR="00D93B14" w:rsidRDefault="00BF4C4E" w14:paraId="00000022" w14:textId="77777777">
      <w:pPr>
        <w:pStyle w:val="Normal1"/>
        <w:jc w:val="both"/>
        <w:rPr>
          <w:rFonts w:ascii="Roboto" w:hAnsi="Roboto" w:eastAsia="Roboto" w:cs="Roboto"/>
          <w:sz w:val="22"/>
          <w:szCs w:val="22"/>
        </w:rPr>
      </w:pPr>
      <w:r>
        <w:rPr>
          <w:rFonts w:ascii="Roboto" w:hAnsi="Roboto" w:eastAsia="Roboto" w:cs="Roboto"/>
          <w:sz w:val="22"/>
          <w:szCs w:val="22"/>
        </w:rPr>
        <w:t>Eva Martín</w:t>
      </w:r>
    </w:p>
    <w:p w:rsidR="00D93B14" w:rsidP="00D1B126" w:rsidRDefault="00D93B14" w14:paraId="00000024" w14:textId="4EFFDD00">
      <w:pPr>
        <w:pStyle w:val="Normal1"/>
        <w:spacing w:after="160"/>
        <w:jc w:val="both"/>
        <w:rPr>
          <w:rFonts w:ascii="Roboto" w:hAnsi="Roboto" w:eastAsia="Roboto" w:cs="Roboto"/>
          <w:sz w:val="22"/>
          <w:szCs w:val="22"/>
        </w:rPr>
      </w:pPr>
      <w:r w:rsidRPr="00D1B126" w:rsidR="00BF4C4E">
        <w:rPr>
          <w:rFonts w:ascii="Roboto" w:hAnsi="Roboto" w:eastAsia="Roboto" w:cs="Roboto"/>
          <w:sz w:val="22"/>
          <w:szCs w:val="22"/>
        </w:rPr>
        <w:t xml:space="preserve">Tfno. 628 17 49 01 / </w:t>
      </w:r>
      <w:r w:rsidRPr="00D1B126" w:rsidR="00BF4C4E">
        <w:rPr>
          <w:rFonts w:ascii="Roboto" w:hAnsi="Roboto" w:eastAsia="Roboto" w:cs="Roboto"/>
          <w:color w:val="E83544"/>
          <w:sz w:val="22"/>
          <w:szCs w:val="22"/>
        </w:rPr>
        <w:t xml:space="preserve"> </w:t>
      </w:r>
      <w:hyperlink r:id="R9a4c3c39658b4c4d">
        <w:r w:rsidRPr="00D1B126" w:rsidR="00BF4C4E">
          <w:rPr>
            <w:rFonts w:ascii="Roboto" w:hAnsi="Roboto" w:eastAsia="Roboto" w:cs="Roboto"/>
            <w:color w:val="E83544"/>
            <w:sz w:val="22"/>
            <w:szCs w:val="22"/>
            <w:u w:val="single"/>
          </w:rPr>
          <w:t>evamc@varenga.es</w:t>
        </w:r>
      </w:hyperlink>
    </w:p>
    <w:p w:rsidR="00D93B14" w:rsidRDefault="00D93B14" w14:paraId="00000025" w14:textId="77777777">
      <w:pPr>
        <w:pStyle w:val="Normal1"/>
        <w:pBdr>
          <w:top w:val="nil"/>
          <w:left w:val="nil"/>
          <w:bottom w:val="nil"/>
          <w:right w:val="nil"/>
          <w:between w:val="nil"/>
        </w:pBdr>
        <w:rPr>
          <w:rFonts w:ascii="Calibri" w:hAnsi="Calibri" w:eastAsia="Calibri" w:cs="Calibri"/>
          <w:highlight w:val="white"/>
        </w:rPr>
      </w:pPr>
    </w:p>
    <w:sectPr w:rsidR="00D93B14">
      <w:headerReference w:type="even" r:id="rId15"/>
      <w:headerReference w:type="default" r:id="rId16"/>
      <w:footerReference w:type="even" r:id="rId17"/>
      <w:footerReference w:type="default" r:id="rId18"/>
      <w:headerReference w:type="first" r:id="rId19"/>
      <w:footerReference w:type="first" r:id="rId20"/>
      <w:pgSz w:w="11906" w:h="16838" w:orient="portrait"/>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F4C4E" w:rsidRDefault="00BF4C4E" w14:paraId="5226ECB9" w14:textId="77777777">
      <w:r>
        <w:separator/>
      </w:r>
    </w:p>
  </w:endnote>
  <w:endnote w:type="continuationSeparator" w:id="0">
    <w:p w:rsidR="00BF4C4E" w:rsidRDefault="00BF4C4E" w14:paraId="03F2FE5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embedRegular w:fontKey="{F2A6828C-F6CB-4122-8D6B-7E74175FDE11}" r:id="rId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1B945439-FC82-4B52-937E-6AC10B487255}" r:id="rId2"/>
    <w:embedItalic w:fontKey="{37DACDA1-D7F1-41E8-952E-301D43E4CF8F}" r:id="rId3"/>
  </w:font>
  <w:font w:name="Roboto">
    <w:panose1 w:val="02000000000000000000"/>
    <w:charset w:val="00"/>
    <w:family w:val="auto"/>
    <w:pitch w:val="variable"/>
    <w:sig w:usb0="E0000AFF" w:usb1="5000217F" w:usb2="00000021" w:usb3="00000000" w:csb0="0000019F" w:csb1="00000000"/>
    <w:embedRegular w:fontKey="{185C27DE-F3B5-4953-B8EA-8F7161090ECE}" r:id="rId4"/>
    <w:embedBold w:fontKey="{FDDD4E3B-4388-473F-8289-E22424FF1830}" r:id="rId5"/>
  </w:font>
  <w:font w:name="Calibri">
    <w:panose1 w:val="020F0502020204030204"/>
    <w:charset w:val="00"/>
    <w:family w:val="swiss"/>
    <w:pitch w:val="variable"/>
    <w:sig w:usb0="E4002EFF" w:usb1="C000247B" w:usb2="00000009" w:usb3="00000000" w:csb0="000001FF" w:csb1="00000000"/>
    <w:embedRegular w:fontKey="{DCE55F21-80AC-406C-9BDA-7C26D742E73A}" r:id="rId6"/>
    <w:embedBold w:fontKey="{D8F28001-32D1-4D17-84EA-65A637B1F667}" r:id="rId7"/>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2CFB9E2F-C5E7-4750-9896-0BACF1B6F42B}" r:id="rId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93B14" w:rsidRDefault="00D93B14" w14:paraId="0000002E" w14:textId="77777777">
    <w:pPr>
      <w:pStyle w:val="Normal1"/>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93B14" w:rsidRDefault="00BF4C4E" w14:paraId="0000002B" w14:textId="77777777">
    <w:pPr>
      <w:pStyle w:val="Normal1"/>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D93B14" w:rsidRDefault="00D93B14" w14:paraId="0000002C" w14:textId="77777777">
    <w:pPr>
      <w:pStyle w:val="Normal1"/>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93B14" w:rsidRDefault="00D93B14" w14:paraId="0000002D" w14:textId="77777777">
    <w:pPr>
      <w:pStyle w:val="Normal1"/>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F4C4E" w:rsidRDefault="00BF4C4E" w14:paraId="611F2D3D" w14:textId="77777777">
      <w:r>
        <w:separator/>
      </w:r>
    </w:p>
  </w:footnote>
  <w:footnote w:type="continuationSeparator" w:id="0">
    <w:p w:rsidR="00BF4C4E" w:rsidRDefault="00BF4C4E" w14:paraId="292A925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93B14" w:rsidRDefault="00D93B14" w14:paraId="0000002A" w14:textId="77777777">
    <w:pPr>
      <w:pStyle w:val="Normal1"/>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D93B14" w:rsidRDefault="00BF4C4E" w14:paraId="00000026" w14:textId="77777777">
    <w:pPr>
      <w:pStyle w:val="Normal1"/>
      <w:ind w:left="-120"/>
      <w:jc w:val="both"/>
      <w:rPr>
        <w:rFonts w:ascii="Calibri" w:hAnsi="Calibri" w:eastAsia="Calibri" w:cs="Calibri"/>
        <w:b/>
        <w:sz w:val="40"/>
        <w:szCs w:val="40"/>
      </w:rPr>
    </w:pPr>
    <w:r>
      <w:rPr>
        <w:noProof/>
      </w:rPr>
      <w:drawing>
        <wp:anchor distT="114300" distB="114300" distL="114300" distR="114300" simplePos="0" relativeHeight="251658240" behindDoc="0" locked="0" layoutInCell="1" hidden="0" allowOverlap="1" wp14:anchorId="3F78E900" wp14:editId="07777777">
          <wp:simplePos x="0" y="0"/>
          <wp:positionH relativeFrom="column">
            <wp:posOffset>4114800</wp:posOffset>
          </wp:positionH>
          <wp:positionV relativeFrom="paragraph">
            <wp:posOffset>-304782</wp:posOffset>
          </wp:positionV>
          <wp:extent cx="1547842" cy="997267"/>
          <wp:effectExtent l="0" t="0" r="0" b="0"/>
          <wp:wrapSquare wrapText="bothSides" distT="114300" distB="114300" distL="114300" distR="114300"/>
          <wp:docPr id="3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547842" cy="997267"/>
                  </a:xfrm>
                  <a:prstGeom prst="rect">
                    <a:avLst/>
                  </a:prstGeom>
                  <a:ln/>
                </pic:spPr>
              </pic:pic>
            </a:graphicData>
          </a:graphic>
        </wp:anchor>
      </w:drawing>
    </w:r>
  </w:p>
  <w:p w:rsidR="00D93B14" w:rsidRDefault="00BF4C4E" w14:paraId="00000027" w14:textId="77777777">
    <w:pPr>
      <w:pStyle w:val="Normal1"/>
      <w:ind w:left="-120"/>
      <w:jc w:val="both"/>
      <w:rPr>
        <w:rFonts w:ascii="Roboto" w:hAnsi="Roboto" w:eastAsia="Roboto" w:cs="Roboto"/>
        <w:sz w:val="22"/>
        <w:szCs w:val="22"/>
      </w:rPr>
    </w:pPr>
    <w:r>
      <w:rPr>
        <w:rFonts w:ascii="Roboto" w:hAnsi="Roboto" w:eastAsia="Roboto" w:cs="Roboto"/>
        <w:b/>
        <w:sz w:val="40"/>
        <w:szCs w:val="40"/>
      </w:rPr>
      <w:t>NOTA DE PRENSA</w:t>
    </w:r>
    <w:r>
      <w:rPr>
        <w:rFonts w:ascii="Roboto" w:hAnsi="Roboto" w:eastAsia="Roboto" w:cs="Roboto"/>
        <w:sz w:val="22"/>
        <w:szCs w:val="22"/>
      </w:rPr>
      <w:t xml:space="preserve"> </w:t>
    </w:r>
  </w:p>
  <w:p w:rsidR="00D93B14" w:rsidRDefault="00D93B14" w14:paraId="00000028" w14:textId="77777777">
    <w:pPr>
      <w:pStyle w:val="Normal1"/>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93B14" w:rsidRDefault="00D93B14" w14:paraId="00000029" w14:textId="77777777">
    <w:pPr>
      <w:pStyle w:val="Normal1"/>
      <w:pBdr>
        <w:top w:val="nil"/>
        <w:left w:val="nil"/>
        <w:bottom w:val="nil"/>
        <w:right w:val="nil"/>
        <w:between w:val="nil"/>
      </w:pBdr>
      <w:tabs>
        <w:tab w:val="center" w:pos="4252"/>
        <w:tab w:val="right" w:pos="8504"/>
      </w:tabs>
      <w:rPr>
        <w:color w:val="000000"/>
      </w:rPr>
    </w:pPr>
  </w:p>
</w:hdr>
</file>

<file path=word/intelligence2.xml><?xml version="1.0" encoding="utf-8"?>
<int2:intelligence xmlns:int2="http://schemas.microsoft.com/office/intelligence/2020/intelligence">
  <int2:observations>
    <int2:bookmark int2:bookmarkName="_Int_NMgNwA75" int2:invalidationBookmarkName="" int2:hashCode="sUEWB1QUiOCxpu" int2:id="vmfVXYlO">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A15326"/>
    <w:multiLevelType w:val="multilevel"/>
    <w:tmpl w:val="FFFFFFFF"/>
    <w:lvl w:ilvl="0">
      <w:start w:val="1"/>
      <w:numFmt w:val="bullet"/>
      <w:lvlText w:val="●"/>
      <w:lvlJc w:val="left"/>
      <w:pPr>
        <w:ind w:left="720" w:hanging="360"/>
      </w:pPr>
      <w:rPr>
        <w:rFonts w:ascii="Verdana" w:hAnsi="Verdana" w:eastAsia="Verdana" w:cs="Verdana"/>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250913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B14"/>
    <w:rsid w:val="002F1969"/>
    <w:rsid w:val="00BF4C4E"/>
    <w:rsid w:val="00D1B126"/>
    <w:rsid w:val="00D93B14"/>
    <w:rsid w:val="1553C12B"/>
    <w:rsid w:val="4665C0F8"/>
    <w:rsid w:val="58E79D36"/>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150886A"/>
  <w15:docId w15:val="{B3F64C05-7855-43C7-8F4F-4220A7CB4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hAnsi="Times New Roman" w:eastAsia="Times New Roman" w:cs="Times New Roman"/>
        <w:sz w:val="24"/>
        <w:szCs w:val="24"/>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Normal0" w:customStyle="1">
    <w:name w:val="Normal0"/>
  </w:style>
  <w:style w:type="table" w:styleId="NormalTable0" w:customStyle="1">
    <w:name w:val="Normal Table0"/>
    <w:tblPr>
      <w:tblCellMar>
        <w:top w:w="0" w:type="dxa"/>
        <w:left w:w="0" w:type="dxa"/>
        <w:bottom w:w="0" w:type="dxa"/>
        <w:right w:w="0" w:type="dxa"/>
      </w:tblCellMar>
    </w:tblPr>
  </w:style>
  <w:style w:type="paragraph" w:styleId="heading10" w:customStyle="1">
    <w:name w:val="heading 10"/>
    <w:basedOn w:val="Normal0"/>
    <w:next w:val="Normal0"/>
    <w:rPr>
      <w:b/>
      <w:sz w:val="48"/>
      <w:szCs w:val="48"/>
    </w:rPr>
  </w:style>
  <w:style w:type="paragraph" w:styleId="heading20" w:customStyle="1">
    <w:name w:val="heading 20"/>
    <w:basedOn w:val="Normal0"/>
    <w:next w:val="Normal0"/>
    <w:pPr>
      <w:keepNext/>
      <w:keepLines/>
      <w:spacing w:before="360" w:after="80"/>
    </w:pPr>
    <w:rPr>
      <w:b/>
      <w:sz w:val="36"/>
      <w:szCs w:val="36"/>
    </w:rPr>
  </w:style>
  <w:style w:type="paragraph" w:styleId="heading30" w:customStyle="1">
    <w:name w:val="heading 30"/>
    <w:basedOn w:val="Normal0"/>
    <w:next w:val="Normal0"/>
    <w:pPr>
      <w:keepNext/>
      <w:keepLines/>
      <w:spacing w:before="280" w:after="80"/>
    </w:pPr>
    <w:rPr>
      <w:b/>
      <w:sz w:val="28"/>
      <w:szCs w:val="28"/>
    </w:rPr>
  </w:style>
  <w:style w:type="paragraph" w:styleId="heading40" w:customStyle="1">
    <w:name w:val="heading 40"/>
    <w:basedOn w:val="Normal0"/>
    <w:next w:val="Normal0"/>
    <w:pPr>
      <w:keepNext/>
      <w:keepLines/>
      <w:spacing w:before="240" w:after="40"/>
    </w:pPr>
    <w:rPr>
      <w:b/>
    </w:rPr>
  </w:style>
  <w:style w:type="paragraph" w:styleId="heading50" w:customStyle="1">
    <w:name w:val="heading 50"/>
    <w:basedOn w:val="Normal0"/>
    <w:next w:val="Normal0"/>
    <w:pPr>
      <w:keepNext/>
      <w:keepLines/>
      <w:spacing w:before="220" w:after="40"/>
    </w:pPr>
    <w:rPr>
      <w:b/>
      <w:sz w:val="22"/>
      <w:szCs w:val="22"/>
    </w:rPr>
  </w:style>
  <w:style w:type="paragraph" w:styleId="heading60" w:customStyle="1">
    <w:name w:val="heading 60"/>
    <w:basedOn w:val="Normal0"/>
    <w:next w:val="Normal0"/>
    <w:pPr>
      <w:keepNext/>
      <w:keepLines/>
      <w:spacing w:before="200" w:after="40"/>
    </w:pPr>
    <w:rPr>
      <w:b/>
      <w:sz w:val="20"/>
      <w:szCs w:val="20"/>
    </w:rPr>
  </w:style>
  <w:style w:type="paragraph" w:styleId="Title0" w:customStyle="1">
    <w:name w:val="Title0"/>
    <w:basedOn w:val="Normal0"/>
    <w:next w:val="Normal0"/>
    <w:pPr>
      <w:keepNext/>
      <w:keepLines/>
      <w:spacing w:before="480" w:after="120"/>
    </w:pPr>
    <w:rPr>
      <w:b/>
      <w:sz w:val="72"/>
      <w:szCs w:val="72"/>
    </w:rPr>
  </w:style>
  <w:style w:type="paragraph" w:styleId="Normal1" w:customStyle="1">
    <w:name w:val="Normal1"/>
    <w:qFormat/>
  </w:style>
  <w:style w:type="paragraph" w:styleId="heading11" w:customStyle="1">
    <w:name w:val="heading 11"/>
    <w:basedOn w:val="Normal1"/>
    <w:next w:val="Normal1"/>
    <w:uiPriority w:val="9"/>
    <w:qFormat/>
    <w:pPr>
      <w:outlineLvl w:val="0"/>
    </w:pPr>
    <w:rPr>
      <w:b/>
      <w:sz w:val="48"/>
      <w:szCs w:val="48"/>
    </w:rPr>
  </w:style>
  <w:style w:type="paragraph" w:styleId="heading21" w:customStyle="1">
    <w:name w:val="heading 21"/>
    <w:basedOn w:val="Normal1"/>
    <w:next w:val="Normal1"/>
    <w:uiPriority w:val="9"/>
    <w:semiHidden/>
    <w:unhideWhenUsed/>
    <w:qFormat/>
    <w:pPr>
      <w:keepNext/>
      <w:keepLines/>
      <w:spacing w:before="360" w:after="80"/>
      <w:outlineLvl w:val="1"/>
    </w:pPr>
    <w:rPr>
      <w:b/>
      <w:sz w:val="36"/>
      <w:szCs w:val="36"/>
    </w:rPr>
  </w:style>
  <w:style w:type="paragraph" w:styleId="heading31" w:customStyle="1">
    <w:name w:val="heading 31"/>
    <w:basedOn w:val="Normal1"/>
    <w:next w:val="Normal1"/>
    <w:uiPriority w:val="9"/>
    <w:semiHidden/>
    <w:unhideWhenUsed/>
    <w:qFormat/>
    <w:pPr>
      <w:keepNext/>
      <w:keepLines/>
      <w:spacing w:before="280" w:after="80"/>
      <w:outlineLvl w:val="2"/>
    </w:pPr>
    <w:rPr>
      <w:b/>
      <w:sz w:val="28"/>
      <w:szCs w:val="28"/>
    </w:rPr>
  </w:style>
  <w:style w:type="paragraph" w:styleId="heading41" w:customStyle="1">
    <w:name w:val="heading 41"/>
    <w:basedOn w:val="Normal1"/>
    <w:next w:val="Normal1"/>
    <w:uiPriority w:val="9"/>
    <w:semiHidden/>
    <w:unhideWhenUsed/>
    <w:qFormat/>
    <w:pPr>
      <w:keepNext/>
      <w:keepLines/>
      <w:spacing w:before="240" w:after="40"/>
      <w:outlineLvl w:val="3"/>
    </w:pPr>
    <w:rPr>
      <w:b/>
    </w:rPr>
  </w:style>
  <w:style w:type="paragraph" w:styleId="heading51" w:customStyle="1">
    <w:name w:val="heading 51"/>
    <w:basedOn w:val="Normal1"/>
    <w:next w:val="Normal1"/>
    <w:uiPriority w:val="9"/>
    <w:semiHidden/>
    <w:unhideWhenUsed/>
    <w:qFormat/>
    <w:pPr>
      <w:keepNext/>
      <w:keepLines/>
      <w:spacing w:before="220" w:after="40"/>
      <w:outlineLvl w:val="4"/>
    </w:pPr>
    <w:rPr>
      <w:b/>
      <w:sz w:val="22"/>
      <w:szCs w:val="22"/>
    </w:rPr>
  </w:style>
  <w:style w:type="paragraph" w:styleId="heading61" w:customStyle="1">
    <w:name w:val="heading 61"/>
    <w:basedOn w:val="Normal1"/>
    <w:next w:val="Normal1"/>
    <w:uiPriority w:val="9"/>
    <w:semiHidden/>
    <w:unhideWhenUsed/>
    <w:qFormat/>
    <w:pPr>
      <w:keepNext/>
      <w:keepLines/>
      <w:spacing w:before="200" w:after="40"/>
      <w:outlineLvl w:val="5"/>
    </w:pPr>
    <w:rPr>
      <w:b/>
      <w:sz w:val="20"/>
      <w:szCs w:val="20"/>
    </w:rPr>
  </w:style>
  <w:style w:type="table" w:styleId="NormalTable1" w:customStyle="1">
    <w:name w:val="Normal Table1"/>
    <w:uiPriority w:val="99"/>
    <w:semiHidden/>
    <w:unhideWhenUsed/>
    <w:tblPr>
      <w:tblInd w:w="0" w:type="dxa"/>
      <w:tblCellMar>
        <w:top w:w="0" w:type="dxa"/>
        <w:left w:w="108" w:type="dxa"/>
        <w:bottom w:w="0" w:type="dxa"/>
        <w:right w:w="108" w:type="dxa"/>
      </w:tblCellMar>
    </w:tblPr>
  </w:style>
  <w:style w:type="paragraph" w:styleId="Title1" w:customStyle="1">
    <w:name w:val="Title1"/>
    <w:basedOn w:val="Normal1"/>
    <w:next w:val="Normal1"/>
    <w:uiPriority w:val="10"/>
    <w:qFormat/>
    <w:pPr>
      <w:keepNext/>
      <w:keepLines/>
      <w:spacing w:before="480" w:after="120"/>
    </w:pPr>
    <w:rPr>
      <w:b/>
      <w:sz w:val="72"/>
      <w:szCs w:val="72"/>
    </w:rPr>
  </w:style>
  <w:style w:type="table" w:styleId="TableNormal8" w:customStyle="1">
    <w:name w:val="Table Normal8"/>
    <w:tblPr>
      <w:tblCellMar>
        <w:top w:w="0" w:type="dxa"/>
        <w:left w:w="0" w:type="dxa"/>
        <w:bottom w:w="0" w:type="dxa"/>
        <w:right w:w="0" w:type="dxa"/>
      </w:tblCellMar>
    </w:tblPr>
  </w:style>
  <w:style w:type="table" w:styleId="TableNormal7" w:customStyle="1">
    <w:name w:val="Table Normal7"/>
    <w:tblPr>
      <w:tblCellMar>
        <w:top w:w="0" w:type="dxa"/>
        <w:left w:w="0" w:type="dxa"/>
        <w:bottom w:w="0" w:type="dxa"/>
        <w:right w:w="0" w:type="dxa"/>
      </w:tblCellMar>
    </w:tblPr>
  </w:style>
  <w:style w:type="table" w:styleId="TableNormal6" w:customStyle="1">
    <w:name w:val="Table Normal6"/>
    <w:tblPr>
      <w:tblCellMar>
        <w:top w:w="0" w:type="dxa"/>
        <w:left w:w="0" w:type="dxa"/>
        <w:bottom w:w="0" w:type="dxa"/>
        <w:right w:w="0" w:type="dxa"/>
      </w:tblCellMar>
    </w:tblPr>
  </w:style>
  <w:style w:type="table" w:styleId="TableNormal5" w:customStyle="1">
    <w:name w:val="Table Normal5"/>
    <w:tblPr>
      <w:tblCellMar>
        <w:top w:w="0" w:type="dxa"/>
        <w:left w:w="0" w:type="dxa"/>
        <w:bottom w:w="0" w:type="dxa"/>
        <w:right w:w="0" w:type="dxa"/>
      </w:tblCellMar>
    </w:tblPr>
  </w:style>
  <w:style w:type="table" w:styleId="TableNormal4" w:customStyle="1">
    <w:name w:val="Table Normal4"/>
    <w:tblPr>
      <w:tblCellMar>
        <w:top w:w="0" w:type="dxa"/>
        <w:left w:w="0" w:type="dxa"/>
        <w:bottom w:w="0" w:type="dxa"/>
        <w:right w:w="0" w:type="dxa"/>
      </w:tblCellMar>
    </w:tblPr>
  </w:style>
  <w:style w:type="table" w:styleId="TableNormal3" w:customStyle="1">
    <w:name w:val="Table Normal3"/>
    <w:rsid w:val="009755B3"/>
    <w:tblPr>
      <w:tblCellMar>
        <w:top w:w="0" w:type="dxa"/>
        <w:left w:w="0" w:type="dxa"/>
        <w:bottom w:w="0" w:type="dxa"/>
        <w:right w:w="0" w:type="dxa"/>
      </w:tblCellMar>
    </w:tblPr>
  </w:style>
  <w:style w:type="table" w:styleId="TableNormal2" w:customStyle="1">
    <w:name w:val="Table Normal2"/>
    <w:rsid w:val="00A46C3D"/>
    <w:tblPr>
      <w:tblCellMar>
        <w:top w:w="0" w:type="dxa"/>
        <w:left w:w="0" w:type="dxa"/>
        <w:bottom w:w="0" w:type="dxa"/>
        <w:right w:w="0" w:type="dxa"/>
      </w:tblCellMar>
    </w:tblPr>
  </w:style>
  <w:style w:type="table" w:styleId="NormalTable00" w:customStyle="1">
    <w:name w:val="Normal Table00"/>
    <w:tblPr>
      <w:tblCellMar>
        <w:top w:w="0" w:type="dxa"/>
        <w:left w:w="0" w:type="dxa"/>
        <w:bottom w:w="0" w:type="dxa"/>
        <w:right w:w="0" w:type="dxa"/>
      </w:tblCellMar>
    </w:tblPr>
  </w:style>
  <w:style w:type="paragraph" w:styleId="Revisin">
    <w:name w:val="Revision"/>
    <w:hidden/>
    <w:uiPriority w:val="99"/>
    <w:semiHidden/>
    <w:rsid w:val="007858B3"/>
  </w:style>
  <w:style w:type="character" w:styleId="Hipervnculo">
    <w:name w:val="Hyperlink"/>
    <w:basedOn w:val="Fuentedeprrafopredeter"/>
    <w:uiPriority w:val="99"/>
    <w:unhideWhenUsed/>
    <w:rsid w:val="00615075"/>
    <w:rPr>
      <w:color w:val="0000FF"/>
      <w:u w:val="single"/>
    </w:rPr>
  </w:style>
  <w:style w:type="paragraph" w:styleId="Subttulo">
    <w:name w:val="Subtitle"/>
    <w:basedOn w:val="Normal1"/>
    <w:next w:val="Normal1"/>
    <w:uiPriority w:val="11"/>
    <w:qFormat/>
    <w:pPr>
      <w:keepNext/>
      <w:keepLines/>
      <w:spacing w:before="360" w:after="80"/>
    </w:pPr>
    <w:rPr>
      <w:rFonts w:ascii="Georgia" w:hAnsi="Georgia" w:eastAsia="Georgia" w:cs="Georgia"/>
      <w:i/>
      <w:color w:val="666666"/>
      <w:sz w:val="48"/>
      <w:szCs w:val="48"/>
    </w:rPr>
  </w:style>
  <w:style w:type="paragraph" w:styleId="Encabezado">
    <w:name w:val="header"/>
    <w:basedOn w:val="Normal1"/>
    <w:link w:val="EncabezadoCar"/>
    <w:uiPriority w:val="99"/>
    <w:semiHidden/>
    <w:unhideWhenUsed/>
    <w:rsid w:val="00C215DA"/>
    <w:pPr>
      <w:tabs>
        <w:tab w:val="center" w:pos="4252"/>
        <w:tab w:val="right" w:pos="8504"/>
      </w:tabs>
    </w:pPr>
  </w:style>
  <w:style w:type="character" w:styleId="EncabezadoCar" w:customStyle="1">
    <w:name w:val="Encabezado Car"/>
    <w:basedOn w:val="Fuentedeprrafopredeter"/>
    <w:link w:val="Encabezado"/>
    <w:uiPriority w:val="99"/>
    <w:semiHidden/>
    <w:rsid w:val="00C215DA"/>
  </w:style>
  <w:style w:type="paragraph" w:styleId="Piedepgina">
    <w:name w:val="footer"/>
    <w:basedOn w:val="Normal1"/>
    <w:link w:val="PiedepginaCar"/>
    <w:uiPriority w:val="99"/>
    <w:semiHidden/>
    <w:unhideWhenUsed/>
    <w:rsid w:val="00C215DA"/>
    <w:pPr>
      <w:tabs>
        <w:tab w:val="center" w:pos="4252"/>
        <w:tab w:val="right" w:pos="8504"/>
      </w:tabs>
    </w:pPr>
  </w:style>
  <w:style w:type="character" w:styleId="PiedepginaCar" w:customStyle="1">
    <w:name w:val="Pie de página Car"/>
    <w:basedOn w:val="Fuentedeprrafopredeter"/>
    <w:link w:val="Piedepgina"/>
    <w:uiPriority w:val="99"/>
    <w:semiHidden/>
    <w:rsid w:val="00C215DA"/>
  </w:style>
  <w:style w:type="character" w:styleId="Hipervnculovisitado">
    <w:name w:val="FollowedHyperlink"/>
    <w:basedOn w:val="Fuentedeprrafopredeter"/>
    <w:uiPriority w:val="99"/>
    <w:semiHidden/>
    <w:unhideWhenUsed/>
    <w:rsid w:val="00615075"/>
    <w:rPr>
      <w:color w:val="800080" w:themeColor="followedHyperlink"/>
      <w:u w:val="single"/>
    </w:rPr>
  </w:style>
  <w:style w:type="character" w:styleId="Textoennegrita">
    <w:name w:val="Strong"/>
    <w:basedOn w:val="Fuentedeprrafopredeter"/>
    <w:uiPriority w:val="22"/>
    <w:qFormat/>
    <w:rsid w:val="001466CE"/>
    <w:rPr>
      <w:b/>
      <w:bCs/>
    </w:rPr>
  </w:style>
  <w:style w:type="character" w:styleId="Refdecomentario">
    <w:name w:val="annotation reference"/>
    <w:basedOn w:val="Fuentedeprrafopredeter"/>
    <w:uiPriority w:val="99"/>
    <w:semiHidden/>
    <w:unhideWhenUsed/>
    <w:rsid w:val="003A12A1"/>
    <w:rPr>
      <w:sz w:val="16"/>
      <w:szCs w:val="16"/>
    </w:rPr>
  </w:style>
  <w:style w:type="paragraph" w:styleId="Textocomentario">
    <w:name w:val="annotation text"/>
    <w:basedOn w:val="Normal1"/>
    <w:link w:val="TextocomentarioCar"/>
    <w:uiPriority w:val="99"/>
    <w:unhideWhenUsed/>
    <w:rsid w:val="003A12A1"/>
    <w:rPr>
      <w:sz w:val="20"/>
      <w:szCs w:val="20"/>
    </w:rPr>
  </w:style>
  <w:style w:type="character" w:styleId="TextocomentarioCar" w:customStyle="1">
    <w:name w:val="Texto comentario Car"/>
    <w:basedOn w:val="Fuentedeprrafopredeter"/>
    <w:link w:val="Textocomentario"/>
    <w:uiPriority w:val="99"/>
    <w:rsid w:val="003A12A1"/>
    <w:rPr>
      <w:sz w:val="20"/>
      <w:szCs w:val="20"/>
    </w:rPr>
  </w:style>
  <w:style w:type="paragraph" w:styleId="Asuntodelcomentario">
    <w:name w:val="annotation subject"/>
    <w:basedOn w:val="Textocomentario"/>
    <w:next w:val="Textocomentario"/>
    <w:link w:val="AsuntodelcomentarioCar"/>
    <w:uiPriority w:val="99"/>
    <w:semiHidden/>
    <w:unhideWhenUsed/>
    <w:rsid w:val="003A12A1"/>
    <w:rPr>
      <w:b/>
      <w:bCs/>
    </w:rPr>
  </w:style>
  <w:style w:type="character" w:styleId="AsuntodelcomentarioCar" w:customStyle="1">
    <w:name w:val="Asunto del comentario Car"/>
    <w:basedOn w:val="TextocomentarioCar"/>
    <w:link w:val="Asuntodelcomentario"/>
    <w:uiPriority w:val="99"/>
    <w:semiHidden/>
    <w:rsid w:val="003A12A1"/>
    <w:rPr>
      <w:b/>
      <w:bCs/>
      <w:sz w:val="20"/>
      <w:szCs w:val="20"/>
    </w:rPr>
  </w:style>
  <w:style w:type="table" w:styleId="TableNormal1" w:customStyle="1">
    <w:name w:val="Table Normal1"/>
    <w:rsid w:val="00FB6A16"/>
    <w:tblPr>
      <w:tblCellMar>
        <w:top w:w="0" w:type="dxa"/>
        <w:left w:w="0" w:type="dxa"/>
        <w:bottom w:w="0" w:type="dxa"/>
        <w:right w:w="0" w:type="dxa"/>
      </w:tblCellMar>
    </w:tblPr>
  </w:style>
  <w:style w:type="paragraph" w:styleId="Subtitle0" w:customStyle="1">
    <w:name w:val="Subtitle0"/>
    <w:basedOn w:val="Normal1"/>
    <w:next w:val="Normal1"/>
    <w:pPr>
      <w:keepNext/>
      <w:keepLines/>
      <w:spacing w:before="360" w:after="80"/>
    </w:pPr>
    <w:rPr>
      <w:rFonts w:ascii="Georgia" w:hAnsi="Georgia" w:eastAsia="Georgia" w:cs="Georgia"/>
      <w:i/>
      <w:color w:val="666666"/>
      <w:sz w:val="48"/>
      <w:szCs w:val="48"/>
    </w:rPr>
  </w:style>
  <w:style w:type="paragraph" w:styleId="Subtitle1" w:customStyle="1">
    <w:name w:val="Subtitle1"/>
    <w:basedOn w:val="Normal1"/>
    <w:next w:val="Normal1"/>
    <w:pPr>
      <w:keepNext/>
      <w:keepLines/>
      <w:spacing w:before="360" w:after="80"/>
    </w:pPr>
    <w:rPr>
      <w:rFonts w:ascii="Georgia" w:hAnsi="Georgia" w:eastAsia="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png" Id="rId13" /><Relationship Type="http://schemas.openxmlformats.org/officeDocument/2006/relationships/footer" Target="footer2.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image" Target="media/image1.png"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enac.es" TargetMode="External" Id="rId11"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endnotes" Target="endnotes.xml" Id="rId10" /><Relationship Type="http://schemas.openxmlformats.org/officeDocument/2006/relationships/header" Target="header3.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22" /><Relationship Type="http://schemas.openxmlformats.org/officeDocument/2006/relationships/hyperlink" Target="https://www.enac.es/" TargetMode="External" Id="R03574e6496bd4fcd" /><Relationship Type="http://schemas.openxmlformats.org/officeDocument/2006/relationships/hyperlink" Target="mailto:evamc@varenga.es" TargetMode="External" Id="R9a4c3c39658b4c4d" /><Relationship Type="http://schemas.microsoft.com/office/2020/10/relationships/intelligence" Target="intelligence2.xml" Id="R7e07317da5084c9a"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1MMWHpzkhf+f2LG1imWQ93Y0ug==">CgMxLjAaGgoBMBIVChMIBCoPCgtBQUFCWURBWkc2cxACGhoKATESFQoTCAQqDwoLQUFBQllEQVpHNncQAhoaCgEyEhUKEwgEKg8KC0FBQUJZREFaRzdBEAEaGgoBMxIVChMIBCoPCgtBQUFCWURBWkc3TRABGhoKATQSFQoTCAQqDwoLQUFBQllEQVpHN2MQAhoaCgE1EhUKEwgEKg8KC0FBQUJZREFaRzdnEAIiiQIKC0FBQUJZREFaRzdJEtUBCgtBQUFCWURBWkc3SRILQUFBQllEQVpHN0kaDQoJdGV4dC9odG1sEgAiDgoKdGV4dC9wbGFpbhIAKhsiFTExMTk4Njc5NTk2MzExMTY0MDM0MCgAOAAw8pi0rrAyOLCftK6wMko7CiRhcHBsaWNhdGlvbi92bmQuZ29vZ2xlLWFwcHMuZG9jcy5tZHMaE8LX2uQBDRoLCgcKAT0QARgAEAFaDHB2b2JobDMxMDFuaXICIAB4AIIBFHN1Z2dlc3QuanFiemhybXo2ZXFlmgEGCAAQABgAGPKYtK6wMiCwn7SusDJCFHN1Z2dlc3QuanFiemhybXo2ZXFlIokCCgtBQUFCWURBWkc3ZxLVAQoLQUFBQllEQVpHN2cSC0FBQUJZREFaRzdnGg0KCXRleHQvaHRtbBIAIg4KCnRleHQvcGxhaW4SACobIhUxMTE5ODY3OTU5NjMxMTE2NDAzNDAoADgAMKamva6wMjjOrL2usDJKOwokYXBwbGljYXRpb24vdm5kLmdvb2dsZS1hcHBzLmRvY3MubWRzGhPC19rkAQ0SCwoHCgFhEAEYABABWgx4bm1mOGhvazdhNGtyAiAAeACCARRzdWdnZXN0LmRpdnU3dWt6NHdvdZoBBggAEAAYABimpr2usDIgzqy9rrAyQhRzdWdnZXN0LmRpdnU3dWt6NHdvdSKLAgoLQUFBQllEQVpHNncS1wEKC0FBQUJZREFaRzZ3EgtBQUFCWURBWkc2dxoNCgl0ZXh0L2h0bWwSACIOCgp0ZXh0L3BsYWluEgAqGyIVMTExOTg2Nzk1OTYzMTExNjQwMzQwKAA4ADDRorGusDI4pKmxrrAySj0KJGFwcGxpY2F0aW9uL3ZuZC5nb29nbGUtYXBwcy5kb2NzLm1kcxoVwtfa5AEPEg0KCQoDbmRvEAEYABABWgxkbnMyNmRvYXE5eWpyAiAAeACCARRzdWdnZXN0LmN3bXB0andieWh4OZoBBggAEAAYABjRorGusDIgpKmxrrAyQhRzdWdnZXN0LmN3bXB0andieWh4OSKKAgoLQUFBQllEQVpHN2MS1gEKC0FBQUJZREFaRzdjEgtBQUFCWURBWkc3YxoNCgl0ZXh0L2h0bWwSACIOCgp0ZXh0L3BsYWluEgAqGyIVMTExOTg2Nzk1OTYzMTExNjQwMzQwKAA4ADDE9ryusDI4sv28rrAySjwKJGFwcGxpY2F0aW9uL3ZuZC5nb29nbGUtYXBwcy5kb2NzLm1kcxoUwtfa5AEOEgwKCAoCc2UQARgAEAFaDHk5bWQydGx1bTh1YXICIAB4AIIBFHN1Z2dlc3QuZDN4OTJlODdscHpxmgEGCAAQABgAGMT2vK6wMiCy/byusDJCFHN1Z2dlc3QuZDN4OTJlODdscHpxIo0CCgtBQUFCWURBWkc2cxLZAQoLQUFBQllEQVpHNnMSC0FBQUJZREFaRzZzGg0KCXRleHQvaHRtbBIAIg4KCnRleHQvcGxhaW4SACobIhUxMTE5ODY3OTU5NjMxMTE2NDAzNDAoADgAMLnAsK6wMji5x7CusDJKPwokYXBwbGljYXRpb24vdm5kLmdvb2dsZS1hcHBzLmRvY3MubWRzGhfC19rkARESDwoLCgVzZSBoYRABGAAQAVoMNG5rd3RuczV6eHV0cgIgAHgAggEUc3VnZ2VzdC4zeXE0NXFhbjhwbzKaAQYIABAAGAAYucCwrrAyILnHsK6wMkIUc3VnZ2VzdC4zeXE0NXFhbjhwbzIirgIKC0FBQUJZREFaRzdBEvoBCgtBQUFCWURBWkc3QRILQUFBQllEQVpHN0EaDQoJdGV4dC9odG1sEgAiDgoKdGV4dC9wbGFpbhIAKhsiFTExMTk4Njc5NTk2MzExMTY0MDM0MCgAOAAwhL+zrrAyOMCMtK6wMkpgCiRhcHBsaWNhdGlvbi92bmQuZ29vZ2xlLWFwcHMuZG9jcy5tZHMaOMLX2uQBMhowCiwKJmxhIEVudGlkYWQgTmFjaW9uYWwgZGUgQWNyZWRpdGFjacOzbiAoEAEYABABWgxmNTZrbnc1aW5qdDZyAiAAeACCARRzdWdnZXN0LmtqY3djcHU2eHQyeZoBBggAEAAYABiEv7OusDIgwIy0rrAyQhRzdWdnZXN0LmtqY3djcHU2eHQyeSKJAgoLQUFBQllEQVpHN00S1QEKC0FBQUJZREFaRzdNEgtBQUFCWURBWkc3TRoNCgl0ZXh0L2h0bWwSACIOCgp0ZXh0L3BsYWluEgAqGyIVMTExOTg2Nzk1OTYzMTExNjQwMzQwKAA4ADDup7SusDI47qe0rrAySjsKJGFwcGxpY2F0aW9uL3ZuZC5nb29nbGUtYXBwcy5kb2NzLm1kcxoTwtfa5AENGgsKBwoBKRABGAAQAVoMcmdzY2ttNWs1NDEzcgIgAHgAggEUc3VnZ2VzdC5xYzdkbGp3ZjY5emyaAQYIABAAGAAY7qe0rrAyIO6ntK6wMkIUc3VnZ2VzdC5xYzdkbGp3ZjY5emw4AGojChRzdWdnZXN0LmpxYnpocm16NmVxZRILRXZhIE1hcnTDrW5qIwoUc3VnZ2VzdC5kaXZ1N3VrejR3b3USC0V2YSBNYXJ0w61uaiMKFHN1Z2dlc3QuY3dtcHRqd2J5aHg5EgtFdmEgTWFydMOtbmojChRzdWdnZXN0LmQzeDkyZTg3bHB6cRILRXZhIE1hcnTDrW5qIwoUc3VnZ2VzdC4zeXE0NXFhbjhwbzISC0V2YSBNYXJ0w61uaiMKFHN1Z2dlc3Qua2pjd2NwdTZ4dDJ5EgtFdmEgTWFydMOtbmojChRzdWdnZXN0LnFjN2RsandmNjl6bBILRXZhIE1hcnTDrW5yITFSd2w1dGJsUEtEOFlWYmp0Z2RBOXI5UlJIbWxYU2lIWA==</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e290ce1-b2e7-4ccb-948d-a290ef611fa1">
      <Terms xmlns="http://schemas.microsoft.com/office/infopath/2007/PartnerControls"/>
    </lcf76f155ced4ddcb4097134ff3c332f>
    <TaxCatchAll xmlns="909e21e3-a2e2-47ca-be0e-9c3a9bef929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9152DE15686E4843A3780C010A78B13A" ma:contentTypeVersion="16" ma:contentTypeDescription="Crear nuevo documento." ma:contentTypeScope="" ma:versionID="23f9a5496e668bb688b97de78c6f6cf9">
  <xsd:schema xmlns:xsd="http://www.w3.org/2001/XMLSchema" xmlns:xs="http://www.w3.org/2001/XMLSchema" xmlns:p="http://schemas.microsoft.com/office/2006/metadata/properties" xmlns:ns2="6e290ce1-b2e7-4ccb-948d-a290ef611fa1" xmlns:ns3="909e21e3-a2e2-47ca-be0e-9c3a9bef9292" targetNamespace="http://schemas.microsoft.com/office/2006/metadata/properties" ma:root="true" ma:fieldsID="17dc88a39ba0aa5236fa82a1cb1aae87" ns2:_="" ns3:_="">
    <xsd:import namespace="6e290ce1-b2e7-4ccb-948d-a290ef611fa1"/>
    <xsd:import namespace="909e21e3-a2e2-47ca-be0e-9c3a9bef929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90ce1-b2e7-4ccb-948d-a290ef611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45c5079e-b5d9-4f40-8558-acc8d9d79a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9e21e3-a2e2-47ca-be0e-9c3a9bef9292"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36efcf77-0706-4f8e-b256-a6b4bd8b1840}" ma:internalName="TaxCatchAll" ma:showField="CatchAllData" ma:web="909e21e3-a2e2-47ca-be0e-9c3a9bef92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266145BF-911D-4182-871F-65AE518A04D3}">
  <ds:schemaRefs>
    <ds:schemaRef ds:uri="http://schemas.microsoft.com/office/2006/metadata/properties"/>
    <ds:schemaRef ds:uri="http://schemas.microsoft.com/office/infopath/2007/PartnerControls"/>
    <ds:schemaRef ds:uri="6e290ce1-b2e7-4ccb-948d-a290ef611fa1"/>
    <ds:schemaRef ds:uri="909e21e3-a2e2-47ca-be0e-9c3a9bef9292"/>
  </ds:schemaRefs>
</ds:datastoreItem>
</file>

<file path=customXml/itemProps3.xml><?xml version="1.0" encoding="utf-8"?>
<ds:datastoreItem xmlns:ds="http://schemas.openxmlformats.org/officeDocument/2006/customXml" ds:itemID="{E2EE33F7-A656-44CA-8FFE-C9397B8A0521}">
  <ds:schemaRefs>
    <ds:schemaRef ds:uri="http://schemas.microsoft.com/sharepoint/v3/contenttype/forms"/>
  </ds:schemaRefs>
</ds:datastoreItem>
</file>

<file path=customXml/itemProps4.xml><?xml version="1.0" encoding="utf-8"?>
<ds:datastoreItem xmlns:ds="http://schemas.openxmlformats.org/officeDocument/2006/customXml" ds:itemID="{880BBE06-A58A-4371-A93A-66EF3F0E7C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290ce1-b2e7-4ccb-948d-a290ef611fa1"/>
    <ds:schemaRef ds:uri="909e21e3-a2e2-47ca-be0e-9c3a9bef9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Irene Gonzalez Fernandez</dc:creator>
  <lastModifiedBy>Eva Martín</lastModifiedBy>
  <revision>2</revision>
  <dcterms:created xsi:type="dcterms:W3CDTF">2024-11-07T10:09:00.0000000Z</dcterms:created>
  <dcterms:modified xsi:type="dcterms:W3CDTF">2024-11-07T10:13:42.0004885Z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0x0101009152DE15686E4843A3780C010A78B13A</vt:lpwstr>
  </property>
  <property fmtid="{D5CDD505-2E9C-101B-9397-08002B2CF9AE}" pid="3" name="MediaServiceImageTags">
    <vt:lpwstr/>
  </property>
</Properties>
</file>