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body>
    <w:p w:rsidR="00622850" w:rsidRDefault="00622850" w14:paraId="672A6659" w14:textId="77777777">
      <w:pPr>
        <w:jc w:val="both"/>
        <w:rPr>
          <w:rFonts w:ascii="Roboto" w:hAnsi="Roboto" w:eastAsia="Roboto" w:cs="Roboto"/>
          <w:b/>
          <w:sz w:val="32"/>
          <w:szCs w:val="32"/>
        </w:rPr>
      </w:pPr>
    </w:p>
    <w:p w:rsidR="00622850" w:rsidRDefault="00622850" w14:paraId="0A37501D" w14:textId="77777777">
      <w:pPr>
        <w:jc w:val="center"/>
        <w:rPr>
          <w:rFonts w:ascii="Roboto" w:hAnsi="Roboto" w:eastAsia="Roboto" w:cs="Roboto"/>
          <w:b/>
          <w:sz w:val="32"/>
          <w:szCs w:val="32"/>
        </w:rPr>
      </w:pPr>
    </w:p>
    <w:p w:rsidR="1CDD0FEF" w:rsidP="3FDF27B6" w:rsidRDefault="1CDD0FEF" w14:paraId="0DEDE759" w14:textId="61C091A1">
      <w:pPr>
        <w:jc w:val="center"/>
        <w:rPr>
          <w:rFonts w:ascii="Roboto" w:hAnsi="Roboto" w:eastAsia="Roboto" w:cs="Roboto"/>
          <w:sz w:val="32"/>
          <w:szCs w:val="32"/>
        </w:rPr>
      </w:pPr>
      <w:r w:rsidRPr="3FDF27B6">
        <w:rPr>
          <w:rFonts w:ascii="Roboto" w:hAnsi="Roboto" w:eastAsia="Roboto" w:cs="Roboto"/>
          <w:b/>
          <w:bCs/>
          <w:color w:val="000000" w:themeColor="text1"/>
          <w:sz w:val="34"/>
          <w:szCs w:val="34"/>
        </w:rPr>
        <w:t>La acreditación de entidades de inspección: una apuesta por la seguridad de los parques infantiles</w:t>
      </w:r>
    </w:p>
    <w:p w:rsidR="00622850" w:rsidRDefault="00622850" w14:paraId="5DAB6C7B" w14:textId="77777777">
      <w:pPr>
        <w:spacing w:after="200" w:line="276" w:lineRule="auto"/>
        <w:rPr>
          <w:rFonts w:ascii="Roboto" w:hAnsi="Roboto" w:eastAsia="Roboto" w:cs="Roboto"/>
          <w:b/>
          <w:sz w:val="22"/>
          <w:szCs w:val="22"/>
        </w:rPr>
      </w:pPr>
    </w:p>
    <w:p w:rsidR="00622850" w:rsidP="54F560C3" w:rsidRDefault="00B9564D" w14:paraId="59A41ACE" w14:textId="1C01A2C4">
      <w:pPr>
        <w:numPr>
          <w:ilvl w:val="0"/>
          <w:numId w:val="2"/>
        </w:numPr>
        <w:pBdr>
          <w:top w:val="none" w:color="000000" w:sz="0" w:space="0"/>
          <w:bottom w:val="none" w:color="000000" w:sz="0" w:space="0"/>
          <w:right w:val="none" w:color="000000" w:sz="0" w:space="0"/>
          <w:between w:val="none" w:color="000000" w:sz="0" w:space="0"/>
        </w:pBdr>
        <w:spacing w:after="160" w:line="259" w:lineRule="auto"/>
        <w:jc w:val="both"/>
        <w:rPr>
          <w:rFonts w:ascii="Roboto" w:hAnsi="Roboto" w:eastAsia="Roboto" w:cs="Roboto"/>
          <w:b w:val="1"/>
          <w:bCs w:val="1"/>
          <w:sz w:val="20"/>
          <w:szCs w:val="20"/>
        </w:rPr>
      </w:pPr>
      <w:r w:rsidRPr="54F560C3" w:rsidR="00B9564D">
        <w:rPr>
          <w:rFonts w:ascii="Roboto" w:hAnsi="Roboto" w:eastAsia="Roboto" w:cs="Roboto"/>
          <w:b w:val="1"/>
          <w:bCs w:val="1"/>
          <w:sz w:val="20"/>
          <w:szCs w:val="20"/>
        </w:rPr>
        <w:t xml:space="preserve">Las Administraciones locales exigen, cada vez más, la acreditación bajo la norma </w:t>
      </w:r>
      <w:r w:rsidRPr="54F560C3" w:rsidR="00B9564D">
        <w:rPr>
          <w:rFonts w:ascii="Roboto" w:hAnsi="Roboto" w:eastAsia="Roboto" w:cs="Roboto"/>
          <w:b w:val="1"/>
          <w:bCs w:val="1"/>
          <w:sz w:val="20"/>
          <w:szCs w:val="20"/>
        </w:rPr>
        <w:t xml:space="preserve">UNE 172020 como requisito en las licitaciones para optar a la realización de los trabajos de inspección de áreas de juego </w:t>
      </w:r>
    </w:p>
    <w:p w:rsidR="00622850" w:rsidP="30D24B96" w:rsidRDefault="009649E5" w14:paraId="26EA19A9" w14:textId="126E0C95">
      <w:pPr>
        <w:spacing w:after="160"/>
        <w:jc w:val="both"/>
        <w:rPr>
          <w:rFonts w:ascii="Roboto" w:hAnsi="Roboto" w:eastAsia="Roboto" w:cs="Roboto"/>
          <w:color w:val="FF0000"/>
          <w:sz w:val="22"/>
          <w:szCs w:val="22"/>
        </w:rPr>
      </w:pPr>
      <w:r w:rsidRPr="30D24B96">
        <w:rPr>
          <w:rFonts w:ascii="Roboto" w:hAnsi="Roboto" w:eastAsia="Roboto" w:cs="Roboto"/>
          <w:sz w:val="22"/>
          <w:szCs w:val="22"/>
        </w:rPr>
        <w:t xml:space="preserve">Madrid, septiembre de 2024. – </w:t>
      </w:r>
      <w:r w:rsidRPr="30D24B96" w:rsidR="565AB989">
        <w:rPr>
          <w:rFonts w:ascii="Roboto" w:hAnsi="Roboto" w:eastAsia="Roboto" w:cs="Roboto"/>
          <w:color w:val="000000" w:themeColor="text1"/>
          <w:sz w:val="22"/>
          <w:szCs w:val="22"/>
        </w:rPr>
        <w:t>Madrid, septiembre de 2024. –</w:t>
      </w:r>
      <w:r w:rsidRPr="30D24B96" w:rsidR="00B9564D">
        <w:rPr>
          <w:rFonts w:ascii="Roboto" w:hAnsi="Roboto" w:eastAsia="Roboto" w:cs="Roboto"/>
          <w:color w:val="000000" w:themeColor="text1"/>
          <w:sz w:val="22"/>
          <w:szCs w:val="22"/>
        </w:rPr>
        <w:t>La seguridad de los parques de juegos y áreas infantiles debe ser una prioridad para los responsables de su mantenimiento y gestión (</w:t>
      </w:r>
      <w:r w:rsidR="00E227A2">
        <w:rPr>
          <w:rFonts w:ascii="Roboto" w:hAnsi="Roboto" w:eastAsia="Roboto" w:cs="Roboto"/>
          <w:color w:val="000000" w:themeColor="text1"/>
          <w:sz w:val="22"/>
          <w:szCs w:val="22"/>
        </w:rPr>
        <w:t>a</w:t>
      </w:r>
      <w:r w:rsidRPr="30D24B96" w:rsidR="00B9564D">
        <w:rPr>
          <w:rFonts w:ascii="Roboto" w:hAnsi="Roboto" w:eastAsia="Roboto" w:cs="Roboto"/>
          <w:color w:val="000000" w:themeColor="text1"/>
          <w:sz w:val="22"/>
          <w:szCs w:val="22"/>
        </w:rPr>
        <w:t>yuntamientos, colegios, etc.).</w:t>
      </w:r>
      <w:r w:rsidRPr="30D24B96" w:rsidR="00B9564D">
        <w:rPr>
          <w:rFonts w:ascii="Roboto" w:hAnsi="Roboto" w:eastAsia="Roboto" w:cs="Roboto"/>
          <w:b/>
          <w:color w:val="000000" w:themeColor="text1"/>
          <w:sz w:val="22"/>
          <w:szCs w:val="22"/>
        </w:rPr>
        <w:t xml:space="preserve"> Para lograr los máximos niveles de seguridad es preciso que dichas instalaciones estén sometidas, no solo a las correspondientes operaciones de mantenimiento sino, también, a inspecciones periódicas</w:t>
      </w:r>
      <w:r w:rsidRPr="30D24B96" w:rsidR="00B9564D">
        <w:rPr>
          <w:rFonts w:ascii="Roboto" w:hAnsi="Roboto" w:eastAsia="Roboto" w:cs="Roboto"/>
          <w:color w:val="000000" w:themeColor="text1"/>
          <w:sz w:val="22"/>
          <w:szCs w:val="22"/>
        </w:rPr>
        <w:t xml:space="preserve"> que avalen la eficacia de dichas operaciones. </w:t>
      </w:r>
    </w:p>
    <w:p w:rsidR="00622850" w:rsidP="30D24B96" w:rsidRDefault="00B9564D" w14:paraId="0C13BBFE" w14:textId="2D54C45C">
      <w:pPr>
        <w:spacing w:after="200"/>
        <w:jc w:val="both"/>
        <w:rPr>
          <w:rFonts w:eastAsia="Roboto"/>
        </w:rPr>
      </w:pPr>
      <w:r w:rsidRPr="30D24B96">
        <w:rPr>
          <w:rFonts w:ascii="Roboto" w:hAnsi="Roboto" w:eastAsia="Roboto" w:cs="Roboto"/>
          <w:color w:val="000000" w:themeColor="text1"/>
          <w:sz w:val="22"/>
          <w:szCs w:val="22"/>
        </w:rPr>
        <w:t>Para disponer de las máximas garantías en la correcta realización de dichas inspecciones, es fundamental que las entidades que las llevan a cabo dispongan de la acreditación de ENAC</w:t>
      </w:r>
      <w:r w:rsidRPr="30D24B96" w:rsidR="565AB989">
        <w:rPr>
          <w:rFonts w:ascii="Roboto" w:hAnsi="Roboto" w:eastAsia="Roboto" w:cs="Roboto"/>
          <w:color w:val="000000" w:themeColor="text1"/>
          <w:sz w:val="22"/>
          <w:szCs w:val="22"/>
        </w:rPr>
        <w:t xml:space="preserve">, la </w:t>
      </w:r>
      <w:hyperlink r:id="rId15">
        <w:r w:rsidRPr="30D24B96" w:rsidR="565AB989">
          <w:rPr>
            <w:rStyle w:val="Hipervnculo"/>
            <w:rFonts w:ascii="Roboto" w:hAnsi="Roboto" w:eastAsia="Roboto" w:cs="Roboto"/>
            <w:b/>
            <w:bCs/>
            <w:color w:val="1155CC"/>
            <w:sz w:val="22"/>
            <w:szCs w:val="22"/>
          </w:rPr>
          <w:t>Entidad Nacional de Acreditación</w:t>
        </w:r>
      </w:hyperlink>
      <w:r w:rsidRPr="30D24B96" w:rsidR="565AB989">
        <w:rPr>
          <w:rFonts w:ascii="Roboto" w:hAnsi="Roboto" w:eastAsia="Roboto" w:cs="Roboto"/>
          <w:color w:val="000000" w:themeColor="text1"/>
          <w:sz w:val="22"/>
          <w:szCs w:val="22"/>
        </w:rPr>
        <w:t>,</w:t>
      </w:r>
      <w:r w:rsidRPr="30D24B96">
        <w:rPr>
          <w:rFonts w:ascii="Roboto" w:hAnsi="Roboto" w:eastAsia="Roboto" w:cs="Roboto"/>
          <w:color w:val="000000" w:themeColor="text1"/>
          <w:sz w:val="22"/>
          <w:szCs w:val="22"/>
        </w:rPr>
        <w:t xml:space="preserve"> para la norma UNE 172020.</w:t>
      </w:r>
    </w:p>
    <w:p w:rsidR="00622850" w:rsidP="30D24B96" w:rsidRDefault="00B9564D" w14:paraId="357FF7A8" w14:textId="17850CAE">
      <w:pPr>
        <w:spacing w:after="200"/>
        <w:jc w:val="both"/>
        <w:rPr>
          <w:rFonts w:eastAsia="Roboto"/>
        </w:rPr>
      </w:pPr>
      <w:r w:rsidRPr="30D24B96">
        <w:rPr>
          <w:rFonts w:ascii="Roboto" w:hAnsi="Roboto" w:eastAsia="Roboto" w:cs="Roboto"/>
          <w:color w:val="000000" w:themeColor="text1"/>
          <w:sz w:val="22"/>
          <w:szCs w:val="22"/>
        </w:rPr>
        <w:t xml:space="preserve">Y esto es así porque, por un lado, la norma 172020, que complementa a la norma UNE-EN ISO/IEC 17020 relativa a las entidades de inspección, particulariza para las inspecciones de parques infantiles tanto aspectos de carácter técnico como los niveles de independencia esperables, así como el alcance preciso de las inspecciones y la caracterización de los defectos encontrados. Asimismo, las entidades que cuentan con la acreditación de ENAC, tras haber superado un riguroso proceso de evaluación, han demostrado cumplir dichos requisitos y, por tanto, disponer de los medios, la competencia técnica y la independencia necesarios para llevar a cabo su tarea. </w:t>
      </w:r>
    </w:p>
    <w:p w:rsidR="00622850" w:rsidP="30D24B96" w:rsidRDefault="00B9564D" w14:paraId="01DFC9F3" w14:textId="447CE023">
      <w:pPr>
        <w:spacing w:after="200"/>
        <w:jc w:val="both"/>
        <w:rPr>
          <w:rFonts w:eastAsia="Roboto"/>
        </w:rPr>
      </w:pPr>
      <w:r w:rsidRPr="30D24B96">
        <w:rPr>
          <w:rFonts w:ascii="Roboto" w:hAnsi="Roboto" w:eastAsia="Roboto" w:cs="Roboto"/>
          <w:color w:val="000000" w:themeColor="text1"/>
          <w:sz w:val="22"/>
          <w:szCs w:val="22"/>
        </w:rPr>
        <w:t>De esta forma,</w:t>
      </w:r>
      <w:r w:rsidRPr="30D24B96">
        <w:rPr>
          <w:rFonts w:ascii="Roboto" w:hAnsi="Roboto" w:eastAsia="Roboto" w:cs="Roboto"/>
          <w:b/>
          <w:color w:val="000000" w:themeColor="text1"/>
          <w:sz w:val="22"/>
          <w:szCs w:val="22"/>
        </w:rPr>
        <w:t xml:space="preserve"> los responsables y propietarios de estas instalaciones tienen a su disposición entidades fiables que les permitirán valorar de manera correcta su nivel de seguridad</w:t>
      </w:r>
      <w:r w:rsidRPr="30D24B96">
        <w:rPr>
          <w:rFonts w:ascii="Roboto" w:hAnsi="Roboto" w:eastAsia="Roboto" w:cs="Roboto"/>
          <w:color w:val="000000" w:themeColor="text1"/>
          <w:sz w:val="22"/>
          <w:szCs w:val="22"/>
        </w:rPr>
        <w:t xml:space="preserve"> facilitando una toma de decisiones informada que les posibilite tomar, en su caso, las acciones de mantenimiento y reparación necesarias y, por tanto, incrementar la confianza en la seguridad de estos parques.</w:t>
      </w:r>
    </w:p>
    <w:p w:rsidR="565AB989" w:rsidP="30D24B96" w:rsidRDefault="565AB989" w14:paraId="005A5233" w14:textId="370D312E">
      <w:pPr>
        <w:jc w:val="both"/>
      </w:pPr>
      <w:r w:rsidRPr="30D24B96">
        <w:rPr>
          <w:rFonts w:ascii="Roboto" w:hAnsi="Roboto" w:eastAsia="Roboto" w:cs="Roboto"/>
          <w:color w:val="000000" w:themeColor="text1"/>
          <w:sz w:val="22"/>
          <w:szCs w:val="22"/>
        </w:rPr>
        <w:t xml:space="preserve">Por este motivo, es cada vez más habitual que las administraciones y, en particular, los ayuntamientos, exijan la acreditación por ENAC de entidades de inspección para áreas de juego bajo la citada norma UNE 172020, en los requisitos exigidos en las licitaciones de la administración para optar a la realización de dichos trabajos de inspección.  </w:t>
      </w:r>
    </w:p>
    <w:p w:rsidR="00622850" w:rsidP="30D24B96" w:rsidRDefault="00622850" w14:paraId="3872C3DE" w14:textId="1DC6AE87">
      <w:pPr>
        <w:jc w:val="both"/>
        <w:rPr>
          <w:rFonts w:eastAsia="Roboto"/>
        </w:rPr>
      </w:pPr>
    </w:p>
    <w:p w:rsidR="00622850" w:rsidP="30D24B96" w:rsidRDefault="00622850" w14:paraId="33BAEBE6" w14:textId="613E41DE">
      <w:pPr>
        <w:pBdr>
          <w:top w:val="none" w:color="000000" w:sz="0" w:space="0"/>
          <w:bottom w:val="none" w:color="000000" w:sz="0" w:space="0"/>
          <w:right w:val="none" w:color="000000" w:sz="0" w:space="0"/>
          <w:between w:val="none" w:color="000000" w:sz="0" w:space="0"/>
        </w:pBdr>
        <w:spacing w:after="160" w:line="259" w:lineRule="auto"/>
        <w:jc w:val="both"/>
        <w:rPr>
          <w:rFonts w:ascii="Roboto" w:hAnsi="Roboto" w:eastAsia="Roboto" w:cs="Roboto"/>
          <w:sz w:val="22"/>
          <w:szCs w:val="22"/>
        </w:rPr>
      </w:pPr>
    </w:p>
    <w:p w:rsidR="00622850" w:rsidRDefault="00B9564D" w14:paraId="69A1FD12"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color w:val="E83544"/>
          <w:sz w:val="22"/>
          <w:szCs w:val="22"/>
        </w:rPr>
      </w:pPr>
      <w:r>
        <w:rPr>
          <w:rFonts w:ascii="Roboto" w:hAnsi="Roboto" w:eastAsia="Roboto" w:cs="Roboto"/>
          <w:b/>
          <w:color w:val="E83544"/>
          <w:sz w:val="22"/>
          <w:szCs w:val="22"/>
        </w:rPr>
        <w:t>Sobre ENAC</w:t>
      </w:r>
      <w:r>
        <w:rPr>
          <w:rFonts w:ascii="Roboto" w:hAnsi="Roboto" w:eastAsia="Roboto" w:cs="Roboto"/>
          <w:color w:val="E83544"/>
          <w:sz w:val="22"/>
          <w:szCs w:val="22"/>
        </w:rPr>
        <w:t xml:space="preserve"> </w:t>
      </w:r>
    </w:p>
    <w:p w:rsidR="00622850" w:rsidRDefault="00622850" w14:paraId="0D0B940D"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color w:val="E83544"/>
          <w:sz w:val="22"/>
          <w:szCs w:val="22"/>
        </w:rPr>
      </w:pPr>
    </w:p>
    <w:p w:rsidR="00622850" w:rsidRDefault="00B9564D" w14:paraId="3DBFD2AC"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 xml:space="preserve">La Entidad Nacional de Acreditación – ENAC – es la entidad designada por el Gobierno para operar en España como el único Organismo Nacional de Acreditación, en aplicación del Reglamento (CE) nº765/2008 del Parlamento Europeo que regula el funcionamiento de la acreditación en Europa. </w:t>
      </w:r>
    </w:p>
    <w:p w:rsidR="00622850" w:rsidRDefault="00B9564D" w14:paraId="32663661"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color w:val="1F497D"/>
          <w:sz w:val="22"/>
          <w:szCs w:val="22"/>
        </w:rPr>
      </w:pPr>
      <w:r>
        <w:rPr>
          <w:rFonts w:ascii="Roboto" w:hAnsi="Roboto" w:eastAsia="Roboto" w:cs="Roboto"/>
          <w:color w:val="1F497D"/>
          <w:sz w:val="22"/>
          <w:szCs w:val="22"/>
        </w:rPr>
        <w:t xml:space="preserve">  </w:t>
      </w:r>
    </w:p>
    <w:p w:rsidR="00622850" w:rsidRDefault="00B9564D" w14:paraId="121F981E"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lastRenderedPageBreak/>
        <w:t xml:space="preserve">ENAC tiene como misión generar confianza en el mercado y en la sociedad evaluando, a través de un sistema conforme a normas internacionales, la competencia técnica de laboratorios de ensayo o calibración, entidades de inspección, entidades de certificación y verificadores medioambientales que desarrollen su actividad en cualquier sector: industria,  energía, medio ambiente, sanidad, alimentación, investigación, desarrollo e innovación, transportes, telecomunicaciones, turismo, servicios, construcción, etc. Contribuye, así, a la seguridad y el bienestar de las personas, la calidad de los productos y servicios, la protección del medioambiente y, con ello, al aumento de la competitividad de los productos y servicios españoles y a una disminución de los costes para la sociedad debidos a estas actividades.  </w:t>
      </w:r>
    </w:p>
    <w:p w:rsidR="00622850" w:rsidRDefault="00B9564D" w14:paraId="455DE78E"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 xml:space="preserve">  </w:t>
      </w:r>
    </w:p>
    <w:p w:rsidR="00622850" w:rsidRDefault="00B9564D" w14:paraId="54638B6E"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 xml:space="preserve">La marca ENAC es la manera de distinguir si un certificado o informe está acreditado o no. Aporta confianza en que la organización que lo emite es técnicamente competente para llevar a cabo la tarea que realiza, y lo es tanto en España como en los 120 países en los que la marca de ENAC es reconocida y aceptada gracias a los acuerdos de reconocimiento que ENAC ha suscrito con las entidades de acreditación de esos países. </w:t>
      </w:r>
    </w:p>
    <w:p w:rsidR="00622850" w:rsidRDefault="00B9564D" w14:paraId="29D6B04F"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 xml:space="preserve"> </w:t>
      </w:r>
    </w:p>
    <w:p w:rsidR="00622850" w:rsidRDefault="00B9564D" w14:paraId="72ADE443" w14:textId="77777777">
      <w:pPr>
        <w:pBdr>
          <w:bottom w:val="single" w:color="000000" w:sz="12" w:space="1"/>
        </w:pBdr>
        <w:jc w:val="both"/>
        <w:rPr>
          <w:rFonts w:ascii="Roboto" w:hAnsi="Roboto" w:eastAsia="Roboto" w:cs="Roboto"/>
          <w:color w:val="E83544"/>
          <w:sz w:val="22"/>
          <w:szCs w:val="22"/>
        </w:rPr>
      </w:pPr>
      <w:hyperlink r:id="rId16">
        <w:r>
          <w:rPr>
            <w:rFonts w:ascii="Roboto" w:hAnsi="Roboto" w:eastAsia="Roboto" w:cs="Roboto"/>
            <w:color w:val="E83544"/>
            <w:sz w:val="22"/>
            <w:szCs w:val="22"/>
            <w:u w:val="single"/>
          </w:rPr>
          <w:t>www.enac.es</w:t>
        </w:r>
      </w:hyperlink>
      <w:r>
        <w:rPr>
          <w:rFonts w:ascii="Roboto" w:hAnsi="Roboto" w:eastAsia="Roboto" w:cs="Roboto"/>
          <w:color w:val="E83544"/>
          <w:sz w:val="22"/>
          <w:szCs w:val="22"/>
        </w:rPr>
        <w:t xml:space="preserve"> </w:t>
      </w:r>
    </w:p>
    <w:p w:rsidR="00622850" w:rsidRDefault="00B9564D" w14:paraId="0A6959E7" w14:textId="77777777">
      <w:pPr>
        <w:pBdr>
          <w:bottom w:val="single" w:color="000000" w:sz="12" w:space="1"/>
        </w:pBdr>
        <w:jc w:val="both"/>
        <w:rPr>
          <w:rFonts w:ascii="Roboto" w:hAnsi="Roboto" w:eastAsia="Roboto" w:cs="Roboto"/>
          <w:color w:val="0000FF"/>
          <w:sz w:val="22"/>
          <w:szCs w:val="22"/>
        </w:rPr>
      </w:pPr>
      <w:r>
        <w:rPr>
          <w:rFonts w:ascii="Roboto" w:hAnsi="Roboto" w:eastAsia="Roboto" w:cs="Roboto"/>
          <w:color w:val="0000FF"/>
          <w:sz w:val="22"/>
          <w:szCs w:val="22"/>
        </w:rPr>
        <w:t xml:space="preserve"> </w:t>
      </w:r>
    </w:p>
    <w:p w:rsidR="00622850" w:rsidRDefault="00B9564D" w14:paraId="54F9AE05" w14:textId="77777777">
      <w:pPr>
        <w:pBdr>
          <w:bottom w:val="single" w:color="000000" w:sz="12" w:space="1"/>
        </w:pBdr>
        <w:jc w:val="both"/>
        <w:rPr>
          <w:rFonts w:ascii="Roboto" w:hAnsi="Roboto" w:eastAsia="Roboto" w:cs="Roboto"/>
          <w:sz w:val="22"/>
          <w:szCs w:val="22"/>
        </w:rPr>
      </w:pPr>
      <w:r>
        <w:rPr>
          <w:rFonts w:ascii="Roboto" w:hAnsi="Roboto" w:eastAsia="Roboto" w:cs="Roboto"/>
          <w:color w:val="0000FF"/>
          <w:sz w:val="22"/>
          <w:szCs w:val="22"/>
        </w:rPr>
        <w:t xml:space="preserve"> </w:t>
      </w:r>
      <w:r>
        <w:rPr>
          <w:rFonts w:ascii="Roboto" w:hAnsi="Roboto" w:eastAsia="Roboto" w:cs="Roboto"/>
          <w:noProof/>
          <w:color w:val="0000FF"/>
          <w:sz w:val="22"/>
          <w:szCs w:val="22"/>
        </w:rPr>
        <w:drawing>
          <wp:inline distT="114300" distB="114300" distL="114300" distR="114300" wp14:anchorId="7030C486" wp14:editId="07777777">
            <wp:extent cx="319366" cy="319366"/>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319366" cy="319366"/>
                    </a:xfrm>
                    <a:prstGeom prst="rect">
                      <a:avLst/>
                    </a:prstGeom>
                    <a:ln/>
                  </pic:spPr>
                </pic:pic>
              </a:graphicData>
            </a:graphic>
          </wp:inline>
        </w:drawing>
      </w:r>
      <w:r>
        <w:rPr>
          <w:rFonts w:ascii="Roboto" w:hAnsi="Roboto" w:eastAsia="Roboto" w:cs="Roboto"/>
          <w:color w:val="0000FF"/>
          <w:sz w:val="22"/>
          <w:szCs w:val="22"/>
        </w:rPr>
        <w:t xml:space="preserve">  </w:t>
      </w:r>
      <w:r>
        <w:rPr>
          <w:rFonts w:ascii="Roboto" w:hAnsi="Roboto" w:eastAsia="Roboto" w:cs="Roboto"/>
          <w:noProof/>
          <w:color w:val="0000FF"/>
          <w:sz w:val="22"/>
          <w:szCs w:val="22"/>
        </w:rPr>
        <w:drawing>
          <wp:inline distT="0" distB="0" distL="0" distR="0" wp14:anchorId="0DD259E9" wp14:editId="07777777">
            <wp:extent cx="316348" cy="316348"/>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316348" cy="316348"/>
                    </a:xfrm>
                    <a:prstGeom prst="rect">
                      <a:avLst/>
                    </a:prstGeom>
                    <a:ln/>
                  </pic:spPr>
                </pic:pic>
              </a:graphicData>
            </a:graphic>
          </wp:inline>
        </w:drawing>
      </w:r>
    </w:p>
    <w:p w:rsidR="00622850" w:rsidRDefault="00622850" w14:paraId="0E27B00A" w14:textId="77777777">
      <w:pPr>
        <w:pBdr>
          <w:bottom w:val="single" w:color="000000" w:sz="12" w:space="1"/>
        </w:pBdr>
        <w:jc w:val="both"/>
        <w:rPr>
          <w:rFonts w:ascii="Roboto" w:hAnsi="Roboto" w:eastAsia="Roboto" w:cs="Roboto"/>
          <w:color w:val="E83544"/>
          <w:sz w:val="22"/>
          <w:szCs w:val="22"/>
        </w:rPr>
      </w:pPr>
    </w:p>
    <w:p w:rsidR="00622850" w:rsidRDefault="00622850" w14:paraId="60061E4C" w14:textId="77777777">
      <w:pPr>
        <w:jc w:val="both"/>
        <w:rPr>
          <w:rFonts w:ascii="Roboto" w:hAnsi="Roboto" w:eastAsia="Roboto" w:cs="Roboto"/>
          <w:color w:val="E83544"/>
          <w:sz w:val="22"/>
          <w:szCs w:val="22"/>
        </w:rPr>
      </w:pPr>
    </w:p>
    <w:p w:rsidR="00622850" w:rsidRDefault="00B9564D" w14:paraId="70AF4A84" w14:textId="77777777">
      <w:pPr>
        <w:jc w:val="both"/>
        <w:rPr>
          <w:rFonts w:ascii="Roboto" w:hAnsi="Roboto" w:eastAsia="Roboto" w:cs="Roboto"/>
          <w:sz w:val="22"/>
          <w:szCs w:val="22"/>
        </w:rPr>
      </w:pPr>
      <w:r>
        <w:rPr>
          <w:rFonts w:ascii="Roboto" w:hAnsi="Roboto" w:eastAsia="Roboto" w:cs="Roboto"/>
          <w:sz w:val="22"/>
          <w:szCs w:val="22"/>
        </w:rPr>
        <w:t>Para más información sobre la nota de prensa, resolver dudas o gestionar entrevistas</w:t>
      </w:r>
    </w:p>
    <w:p w:rsidR="00622850" w:rsidRDefault="00B9564D" w14:paraId="527B165C" w14:textId="77777777">
      <w:pPr>
        <w:jc w:val="both"/>
        <w:rPr>
          <w:rFonts w:ascii="Roboto" w:hAnsi="Roboto" w:eastAsia="Roboto" w:cs="Roboto"/>
          <w:sz w:val="22"/>
          <w:szCs w:val="22"/>
        </w:rPr>
      </w:pPr>
      <w:r>
        <w:rPr>
          <w:rFonts w:ascii="Roboto" w:hAnsi="Roboto" w:eastAsia="Roboto" w:cs="Roboto"/>
          <w:sz w:val="22"/>
          <w:szCs w:val="22"/>
        </w:rPr>
        <w:t>Eva Martín</w:t>
      </w:r>
    </w:p>
    <w:p w:rsidR="00622850" w:rsidRDefault="00B9564D" w14:paraId="0B05E5D0" w14:textId="77777777">
      <w:pPr>
        <w:jc w:val="both"/>
        <w:rPr>
          <w:rFonts w:ascii="Roboto" w:hAnsi="Roboto" w:eastAsia="Roboto" w:cs="Roboto"/>
          <w:sz w:val="22"/>
          <w:szCs w:val="22"/>
        </w:rPr>
      </w:pPr>
      <w:r>
        <w:rPr>
          <w:rFonts w:ascii="Roboto" w:hAnsi="Roboto" w:eastAsia="Roboto" w:cs="Roboto"/>
          <w:sz w:val="22"/>
          <w:szCs w:val="22"/>
        </w:rPr>
        <w:t xml:space="preserve">Tfno. 628 17 49 01 / </w:t>
      </w:r>
      <w:r>
        <w:rPr>
          <w:rFonts w:ascii="Roboto" w:hAnsi="Roboto" w:eastAsia="Roboto" w:cs="Roboto"/>
          <w:color w:val="E83544"/>
          <w:sz w:val="22"/>
          <w:szCs w:val="22"/>
        </w:rPr>
        <w:t xml:space="preserve"> </w:t>
      </w:r>
      <w:hyperlink r:id="rId19">
        <w:r>
          <w:rPr>
            <w:rFonts w:ascii="Roboto" w:hAnsi="Roboto" w:eastAsia="Roboto" w:cs="Roboto"/>
            <w:color w:val="E83544"/>
            <w:sz w:val="22"/>
            <w:szCs w:val="22"/>
            <w:u w:val="single"/>
          </w:rPr>
          <w:t>evamc@varenga.es</w:t>
        </w:r>
      </w:hyperlink>
    </w:p>
    <w:p w:rsidR="00622850" w:rsidRDefault="00622850" w14:paraId="44EAFD9C" w14:textId="77777777">
      <w:pPr>
        <w:spacing w:after="200" w:line="276" w:lineRule="auto"/>
        <w:rPr>
          <w:rFonts w:ascii="Roboto" w:hAnsi="Roboto" w:eastAsia="Roboto" w:cs="Roboto"/>
          <w:sz w:val="22"/>
          <w:szCs w:val="22"/>
        </w:rPr>
      </w:pPr>
    </w:p>
    <w:p w:rsidR="00622850" w:rsidRDefault="00622850" w14:paraId="4B94D5A5" w14:textId="77777777">
      <w:pPr>
        <w:rPr>
          <w:rFonts w:ascii="Calibri" w:hAnsi="Calibri" w:eastAsia="Calibri" w:cs="Calibri"/>
          <w:b/>
          <w:sz w:val="22"/>
          <w:szCs w:val="22"/>
          <w:u w:val="single"/>
        </w:rPr>
      </w:pPr>
    </w:p>
    <w:p w:rsidR="00622850" w:rsidRDefault="00622850" w14:paraId="3DEEC669" w14:textId="77777777">
      <w:pPr>
        <w:jc w:val="both"/>
        <w:rPr>
          <w:rFonts w:ascii="Calibri" w:hAnsi="Calibri" w:eastAsia="Calibri" w:cs="Calibri"/>
          <w:b/>
          <w:sz w:val="22"/>
          <w:szCs w:val="22"/>
          <w:u w:val="single"/>
        </w:rPr>
      </w:pPr>
    </w:p>
    <w:p w:rsidR="00622850" w:rsidRDefault="00622850" w14:paraId="3656B9AB" w14:textId="77777777">
      <w:pPr>
        <w:pBdr>
          <w:top w:val="nil"/>
          <w:left w:val="nil"/>
          <w:bottom w:val="nil"/>
          <w:right w:val="nil"/>
          <w:between w:val="nil"/>
        </w:pBdr>
        <w:rPr>
          <w:rFonts w:ascii="Calibri" w:hAnsi="Calibri" w:eastAsia="Calibri" w:cs="Calibri"/>
          <w:highlight w:val="white"/>
        </w:rPr>
      </w:pPr>
    </w:p>
    <w:sectPr w:rsidR="00622850">
      <w:headerReference w:type="even" r:id="rId20"/>
      <w:headerReference w:type="default" r:id="rId21"/>
      <w:footerReference w:type="even" r:id="rId22"/>
      <w:footerReference w:type="default" r:id="rId23"/>
      <w:headerReference w:type="first" r:id="rId24"/>
      <w:footerReference w:type="first" r:id="rId25"/>
      <w:pgSz w:w="11906" w:h="16838" w:orient="portrait"/>
      <w:pgMar w:top="1417" w:right="1701" w:bottom="1417" w:left="1701" w:header="708" w:footer="708"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01871" w:rsidRDefault="00301871" w14:paraId="1CE9DAA6" w14:textId="77777777">
      <w:r>
        <w:separator/>
      </w:r>
    </w:p>
  </w:endnote>
  <w:endnote w:type="continuationSeparator" w:id="0">
    <w:p w:rsidR="00301871" w:rsidRDefault="00301871" w14:paraId="0C1D10BA" w14:textId="77777777">
      <w:r>
        <w:continuationSeparator/>
      </w:r>
    </w:p>
  </w:endnote>
  <w:endnote w:type="continuationNotice" w:id="1">
    <w:p w:rsidR="00301871" w:rsidRDefault="00301871" w14:paraId="67480922"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embedRegular w:fontKey="{C72C5E40-F181-49A4-A4D0-8F701834A491}" r:id="rId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E2D43A20-5250-4B32-95E9-C80BED364756}" r:id="rId2"/>
    <w:embedItalic w:fontKey="{AF70277A-8E53-40E0-8122-3D81E623163C}" r:id="rId3"/>
  </w:font>
  <w:font w:name="Roboto">
    <w:panose1 w:val="02000000000000000000"/>
    <w:charset w:val="00"/>
    <w:family w:val="auto"/>
    <w:pitch w:val="variable"/>
    <w:sig w:usb0="E0000AFF" w:usb1="5000217F" w:usb2="00000021" w:usb3="00000000" w:csb0="0000019F" w:csb1="00000000"/>
    <w:embedRegular w:fontKey="{56596E94-4C91-4BD4-9D3C-F908EAC18AFC}" r:id="rId4"/>
    <w:embedBold w:fontKey="{C0E6ADB7-67B1-4321-9B49-13714AFAC180}" r:id="rId5"/>
  </w:font>
  <w:font w:name="Calibri">
    <w:panose1 w:val="020F0502020204030204"/>
    <w:charset w:val="00"/>
    <w:family w:val="swiss"/>
    <w:pitch w:val="variable"/>
    <w:sig w:usb0="E4002EFF" w:usb1="C200247B" w:usb2="00000009" w:usb3="00000000" w:csb0="000001FF" w:csb1="00000000"/>
    <w:embedRegular w:fontKey="{BBB67015-6D04-46FD-BFB9-3B3F19059838}" r:id="rId6"/>
    <w:embedBold w:fontKey="{B02C3CF4-E474-4853-B57E-72AAC6287937}" r:id="rId7"/>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EDDF97F5-6A67-4361-9313-3918D5FA1A69}" r:id="rId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22850" w:rsidRDefault="00622850" w14:paraId="45FB0818" w14:textId="77777777">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22850" w:rsidRDefault="00B9564D" w14:paraId="133EDD17" w14:textId="1A017979">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E227A2">
      <w:rPr>
        <w:noProof/>
        <w:color w:val="000000"/>
      </w:rPr>
      <w:t>1</w:t>
    </w:r>
    <w:r>
      <w:rPr>
        <w:color w:val="000000"/>
      </w:rPr>
      <w:fldChar w:fldCharType="end"/>
    </w:r>
  </w:p>
  <w:p w:rsidR="00622850" w:rsidRDefault="00622850" w14:paraId="4DDBEF00" w14:textId="77777777">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22850" w:rsidRDefault="00622850" w14:paraId="049F31CB" w14:textId="77777777">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01871" w:rsidRDefault="00301871" w14:paraId="59D10638" w14:textId="77777777">
      <w:r>
        <w:separator/>
      </w:r>
    </w:p>
  </w:footnote>
  <w:footnote w:type="continuationSeparator" w:id="0">
    <w:p w:rsidR="00301871" w:rsidRDefault="00301871" w14:paraId="69C49628" w14:textId="77777777">
      <w:r>
        <w:continuationSeparator/>
      </w:r>
    </w:p>
  </w:footnote>
  <w:footnote w:type="continuationNotice" w:id="1">
    <w:p w:rsidR="00301871" w:rsidRDefault="00301871" w14:paraId="59EF5492"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22850" w:rsidRDefault="00622850" w14:paraId="62486C05" w14:textId="77777777">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622850" w:rsidRDefault="00B9564D" w14:paraId="3CA3671C" w14:textId="77777777">
    <w:pPr>
      <w:ind w:left="-120"/>
      <w:jc w:val="both"/>
      <w:rPr>
        <w:rFonts w:ascii="Calibri" w:hAnsi="Calibri" w:eastAsia="Calibri" w:cs="Calibri"/>
        <w:b/>
        <w:sz w:val="40"/>
        <w:szCs w:val="40"/>
      </w:rPr>
    </w:pPr>
    <w:r>
      <w:rPr>
        <w:noProof/>
      </w:rPr>
      <w:drawing>
        <wp:anchor distT="114300" distB="114300" distL="114300" distR="114300" simplePos="0" relativeHeight="251658240" behindDoc="0" locked="0" layoutInCell="1" hidden="0" allowOverlap="1" wp14:anchorId="54928791" wp14:editId="07777777">
          <wp:simplePos x="0" y="0"/>
          <wp:positionH relativeFrom="column">
            <wp:posOffset>4114800</wp:posOffset>
          </wp:positionH>
          <wp:positionV relativeFrom="paragraph">
            <wp:posOffset>-304790</wp:posOffset>
          </wp:positionV>
          <wp:extent cx="1547842" cy="997267"/>
          <wp:effectExtent l="0" t="0" r="0" b="0"/>
          <wp:wrapSquare wrapText="bothSides" distT="114300" distB="114300" distL="114300" distR="114300"/>
          <wp:docPr id="1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547842" cy="997267"/>
                  </a:xfrm>
                  <a:prstGeom prst="rect">
                    <a:avLst/>
                  </a:prstGeom>
                  <a:ln/>
                </pic:spPr>
              </pic:pic>
            </a:graphicData>
          </a:graphic>
        </wp:anchor>
      </w:drawing>
    </w:r>
  </w:p>
  <w:p w:rsidR="00622850" w:rsidRDefault="00B9564D" w14:paraId="12ECC7C7" w14:textId="77777777">
    <w:pPr>
      <w:ind w:left="-120"/>
      <w:jc w:val="both"/>
      <w:rPr>
        <w:rFonts w:ascii="Roboto" w:hAnsi="Roboto" w:eastAsia="Roboto" w:cs="Roboto"/>
        <w:sz w:val="22"/>
        <w:szCs w:val="22"/>
      </w:rPr>
    </w:pPr>
    <w:r>
      <w:rPr>
        <w:rFonts w:ascii="Roboto" w:hAnsi="Roboto" w:eastAsia="Roboto" w:cs="Roboto"/>
        <w:b/>
        <w:sz w:val="40"/>
        <w:szCs w:val="40"/>
      </w:rPr>
      <w:t>NOTA DE PRENSA</w:t>
    </w:r>
    <w:r>
      <w:rPr>
        <w:rFonts w:ascii="Roboto" w:hAnsi="Roboto" w:eastAsia="Roboto" w:cs="Roboto"/>
        <w:sz w:val="22"/>
        <w:szCs w:val="22"/>
      </w:rPr>
      <w:t xml:space="preserve"> </w:t>
    </w:r>
  </w:p>
  <w:p w:rsidR="00622850" w:rsidRDefault="00622850" w14:paraId="53128261" w14:textId="77777777">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22850" w:rsidRDefault="00622850" w14:paraId="4101652C" w14:textId="77777777">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F15EF"/>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1547EF5"/>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3255888">
    <w:abstractNumId w:val="1"/>
  </w:num>
  <w:num w:numId="2" w16cid:durableId="1208252427">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embedTrueTypeFonts/>
  <w:trackRevisions w:val="false"/>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1DB8"/>
    <w:rsid w:val="000371A4"/>
    <w:rsid w:val="000E782F"/>
    <w:rsid w:val="00301871"/>
    <w:rsid w:val="00531DB8"/>
    <w:rsid w:val="00622850"/>
    <w:rsid w:val="00696501"/>
    <w:rsid w:val="007629F7"/>
    <w:rsid w:val="008472F5"/>
    <w:rsid w:val="009649E5"/>
    <w:rsid w:val="00A3283D"/>
    <w:rsid w:val="00A3704A"/>
    <w:rsid w:val="00A65091"/>
    <w:rsid w:val="00B36FCB"/>
    <w:rsid w:val="00B9564D"/>
    <w:rsid w:val="00CE49AA"/>
    <w:rsid w:val="00DC2647"/>
    <w:rsid w:val="00E227A2"/>
    <w:rsid w:val="00E712A0"/>
    <w:rsid w:val="1421CBEE"/>
    <w:rsid w:val="1CDD0FEF"/>
    <w:rsid w:val="30D24B96"/>
    <w:rsid w:val="3A264F26"/>
    <w:rsid w:val="3FDF27B6"/>
    <w:rsid w:val="54F560C3"/>
    <w:rsid w:val="565AB989"/>
    <w:rsid w:val="6EAE54D3"/>
    <w:rsid w:val="7113E6D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FEDAC7"/>
  <w15:docId w15:val="{4F62CE5D-9567-4420-9058-1A075733A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hAnsi="Times New Roman" w:eastAsia="Times New Roman" w:cs="Times New Roman"/>
        <w:sz w:val="24"/>
        <w:szCs w:val="24"/>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Encabezado">
    <w:name w:val="header"/>
    <w:basedOn w:val="Normal"/>
    <w:link w:val="EncabezadoCar"/>
    <w:uiPriority w:val="99"/>
    <w:semiHidden/>
    <w:unhideWhenUsed/>
    <w:rsid w:val="000E782F"/>
    <w:pPr>
      <w:tabs>
        <w:tab w:val="center" w:pos="4252"/>
        <w:tab w:val="right" w:pos="8504"/>
      </w:tabs>
    </w:pPr>
  </w:style>
  <w:style w:type="character" w:styleId="EncabezadoCar" w:customStyle="1">
    <w:name w:val="Encabezado Car"/>
    <w:basedOn w:val="Fuentedeprrafopredeter"/>
    <w:link w:val="Encabezado"/>
    <w:uiPriority w:val="99"/>
    <w:semiHidden/>
    <w:rsid w:val="000E782F"/>
  </w:style>
  <w:style w:type="paragraph" w:styleId="Piedepgina">
    <w:name w:val="footer"/>
    <w:basedOn w:val="Normal"/>
    <w:link w:val="PiedepginaCar"/>
    <w:uiPriority w:val="99"/>
    <w:semiHidden/>
    <w:unhideWhenUsed/>
    <w:rsid w:val="000E782F"/>
    <w:pPr>
      <w:tabs>
        <w:tab w:val="center" w:pos="4252"/>
        <w:tab w:val="right" w:pos="8504"/>
      </w:tabs>
    </w:pPr>
  </w:style>
  <w:style w:type="character" w:styleId="PiedepginaCar" w:customStyle="1">
    <w:name w:val="Pie de página Car"/>
    <w:basedOn w:val="Fuentedeprrafopredeter"/>
    <w:link w:val="Piedepgina"/>
    <w:uiPriority w:val="99"/>
    <w:semiHidden/>
    <w:rsid w:val="000E782F"/>
  </w:style>
  <w:style w:type="table" w:styleId="NormalTable0" w:customStyle="1">
    <w:name w:val="Normal Table0"/>
    <w:rsid w:val="000E782F"/>
    <w:tblPr>
      <w:tblCellMar>
        <w:top w:w="0" w:type="dxa"/>
        <w:left w:w="0" w:type="dxa"/>
        <w:bottom w:w="0" w:type="dxa"/>
        <w:right w:w="0" w:type="dxa"/>
      </w:tblCellMar>
    </w:tblPr>
  </w:style>
  <w:style w:type="table" w:styleId="TableNormal" w:customStyle="1">
    <w:name w:val="Table Normal"/>
    <w:rsid w:val="000E782F"/>
    <w:tblPr>
      <w:tblCellMar>
        <w:top w:w="0" w:type="dxa"/>
        <w:left w:w="0" w:type="dxa"/>
        <w:bottom w:w="0" w:type="dxa"/>
        <w:right w:w="0" w:type="dxa"/>
      </w:tblCellMar>
    </w:tblPr>
  </w:style>
  <w:style w:type="table" w:styleId="TableNormal0" w:customStyle="1">
    <w:name w:val="Table Normal0"/>
    <w:rsid w:val="000E782F"/>
    <w:tblPr>
      <w:tblCellMar>
        <w:top w:w="0" w:type="dxa"/>
        <w:left w:w="0" w:type="dxa"/>
        <w:bottom w:w="0" w:type="dxa"/>
        <w:right w:w="0" w:type="dxa"/>
      </w:tblCellMar>
    </w:tblPr>
  </w:style>
  <w:style w:type="table" w:styleId="TableNormal1" w:customStyle="1">
    <w:name w:val="Table Normal1"/>
    <w:rsid w:val="000E782F"/>
    <w:tblPr>
      <w:tblCellMar>
        <w:top w:w="0" w:type="dxa"/>
        <w:left w:w="0" w:type="dxa"/>
        <w:bottom w:w="0" w:type="dxa"/>
        <w:right w:w="0" w:type="dxa"/>
      </w:tblCellMar>
    </w:tblPr>
  </w:style>
  <w:style w:type="table" w:styleId="TableNormal2" w:customStyle="1">
    <w:name w:val="Table Normal2"/>
    <w:rsid w:val="000E782F"/>
    <w:tblPr>
      <w:tblCellMar>
        <w:top w:w="0" w:type="dxa"/>
        <w:left w:w="0" w:type="dxa"/>
        <w:bottom w:w="0" w:type="dxa"/>
        <w:right w:w="0" w:type="dxa"/>
      </w:tblCellMar>
    </w:tblPr>
  </w:style>
  <w:style w:type="table" w:styleId="TableNormal3" w:customStyle="1">
    <w:name w:val="Table Normal3"/>
    <w:rsid w:val="000E782F"/>
    <w:tblPr>
      <w:tblCellMar>
        <w:top w:w="0" w:type="dxa"/>
        <w:left w:w="0" w:type="dxa"/>
        <w:bottom w:w="0" w:type="dxa"/>
        <w:right w:w="0" w:type="dxa"/>
      </w:tblCellMar>
    </w:tblPr>
  </w:style>
  <w:style w:type="character" w:styleId="Hipervnculo">
    <w:name w:val="Hyperlink"/>
    <w:basedOn w:val="Fuentedeprrafopredeter"/>
    <w:uiPriority w:val="99"/>
    <w:unhideWhenUsed/>
    <w:rsid w:val="000E782F"/>
    <w:rPr>
      <w:color w:val="0000FF" w:themeColor="hyperlink"/>
      <w:u w:val="single"/>
    </w:rPr>
  </w:style>
  <w:style w:type="character" w:styleId="Refdecomentario">
    <w:name w:val="annotation reference"/>
    <w:basedOn w:val="Fuentedeprrafopredeter"/>
    <w:uiPriority w:val="99"/>
    <w:semiHidden/>
    <w:unhideWhenUsed/>
    <w:rsid w:val="00E712A0"/>
    <w:rPr>
      <w:sz w:val="16"/>
      <w:szCs w:val="16"/>
    </w:rPr>
  </w:style>
  <w:style w:type="paragraph" w:styleId="Textocomentario">
    <w:name w:val="annotation text"/>
    <w:basedOn w:val="Normal"/>
    <w:link w:val="TextocomentarioCar"/>
    <w:uiPriority w:val="99"/>
    <w:unhideWhenUsed/>
    <w:rsid w:val="00E712A0"/>
    <w:rPr>
      <w:sz w:val="20"/>
      <w:szCs w:val="20"/>
    </w:rPr>
  </w:style>
  <w:style w:type="character" w:styleId="TextocomentarioCar" w:customStyle="1">
    <w:name w:val="Texto comentario Car"/>
    <w:basedOn w:val="Fuentedeprrafopredeter"/>
    <w:link w:val="Textocomentario"/>
    <w:uiPriority w:val="99"/>
    <w:rsid w:val="00E712A0"/>
    <w:rPr>
      <w:sz w:val="20"/>
      <w:szCs w:val="20"/>
    </w:rPr>
  </w:style>
  <w:style w:type="paragraph" w:styleId="Asuntodelcomentario">
    <w:name w:val="annotation subject"/>
    <w:basedOn w:val="Textocomentario"/>
    <w:next w:val="Textocomentario"/>
    <w:link w:val="AsuntodelcomentarioCar"/>
    <w:uiPriority w:val="99"/>
    <w:semiHidden/>
    <w:unhideWhenUsed/>
    <w:rsid w:val="00E712A0"/>
    <w:rPr>
      <w:b/>
      <w:bCs/>
    </w:rPr>
  </w:style>
  <w:style w:type="character" w:styleId="AsuntodelcomentarioCar" w:customStyle="1">
    <w:name w:val="Asunto del comentario Car"/>
    <w:basedOn w:val="TextocomentarioCar"/>
    <w:link w:val="Asuntodelcomentario"/>
    <w:uiPriority w:val="99"/>
    <w:semiHidden/>
    <w:rsid w:val="00E712A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6/09/relationships/commentsIds" Target="commentsIds.xml" Id="rId13" /><Relationship Type="http://schemas.openxmlformats.org/officeDocument/2006/relationships/image" Target="media/image2.png"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header" Target="header2.xml" Id="rId21" /><Relationship Type="http://schemas.openxmlformats.org/officeDocument/2006/relationships/settings" Target="settings.xml" Id="rId7" /><Relationship Type="http://schemas.microsoft.com/office/2011/relationships/commentsExtended" Target="commentsExtended.xml" Id="rId12" /><Relationship Type="http://schemas.openxmlformats.org/officeDocument/2006/relationships/image" Target="media/image1.png" Id="rId17" /><Relationship Type="http://schemas.openxmlformats.org/officeDocument/2006/relationships/footer" Target="footer3.xml" Id="rId25" /><Relationship Type="http://schemas.openxmlformats.org/officeDocument/2006/relationships/customXml" Target="../customXml/item2.xml" Id="rId2" /><Relationship Type="http://schemas.openxmlformats.org/officeDocument/2006/relationships/hyperlink" Target="http://www.enac.es" TargetMode="External"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3.xml" Id="rId24" /><Relationship Type="http://schemas.openxmlformats.org/officeDocument/2006/relationships/numbering" Target="numbering.xml" Id="rId5" /><Relationship Type="http://schemas.openxmlformats.org/officeDocument/2006/relationships/hyperlink" Target="https://www.enac.es/" TargetMode="External" Id="rId15" /><Relationship Type="http://schemas.openxmlformats.org/officeDocument/2006/relationships/footer" Target="footer2.xml" Id="rId23" /><Relationship Type="http://schemas.openxmlformats.org/officeDocument/2006/relationships/theme" Target="theme/theme1.xml" Id="rId28" /><Relationship Type="http://schemas.openxmlformats.org/officeDocument/2006/relationships/endnotes" Target="endnotes.xml" Id="rId10" /><Relationship Type="http://schemas.openxmlformats.org/officeDocument/2006/relationships/hyperlink" Target="mailto:evamc@varenga.es"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22" /><Relationship Type="http://schemas.microsoft.com/office/2011/relationships/people" Target="people.xml" Id="rId27"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vAaTuJN8g66lnJzCWrON30+gtw==">CgMxLjA4AHIhMUFGYzFRVWc4TXV1Q3R2OUFJNm4tdHZUd2RKTHg2T0Rq</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e290ce1-b2e7-4ccb-948d-a290ef611fa1">
      <Terms xmlns="http://schemas.microsoft.com/office/infopath/2007/PartnerControls"/>
    </lcf76f155ced4ddcb4097134ff3c332f>
    <TaxCatchAll xmlns="909e21e3-a2e2-47ca-be0e-9c3a9bef929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9152DE15686E4843A3780C010A78B13A" ma:contentTypeVersion="16" ma:contentTypeDescription="Crear nuevo documento." ma:contentTypeScope="" ma:versionID="23f9a5496e668bb688b97de78c6f6cf9">
  <xsd:schema xmlns:xsd="http://www.w3.org/2001/XMLSchema" xmlns:xs="http://www.w3.org/2001/XMLSchema" xmlns:p="http://schemas.microsoft.com/office/2006/metadata/properties" xmlns:ns2="6e290ce1-b2e7-4ccb-948d-a290ef611fa1" xmlns:ns3="909e21e3-a2e2-47ca-be0e-9c3a9bef9292" targetNamespace="http://schemas.microsoft.com/office/2006/metadata/properties" ma:root="true" ma:fieldsID="17dc88a39ba0aa5236fa82a1cb1aae87" ns2:_="" ns3:_="">
    <xsd:import namespace="6e290ce1-b2e7-4ccb-948d-a290ef611fa1"/>
    <xsd:import namespace="909e21e3-a2e2-47ca-be0e-9c3a9bef929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90ce1-b2e7-4ccb-948d-a290ef611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45c5079e-b5d9-4f40-8558-acc8d9d79a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9e21e3-a2e2-47ca-be0e-9c3a9bef9292"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36efcf77-0706-4f8e-b256-a6b4bd8b1840}" ma:internalName="TaxCatchAll" ma:showField="CatchAllData" ma:web="909e21e3-a2e2-47ca-be0e-9c3a9bef92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824EE8C-99F5-429F-9059-4BCAA22AB841}">
  <ds:schemaRefs>
    <ds:schemaRef ds:uri="http://schemas.microsoft.com/office/2006/metadata/properties"/>
    <ds:schemaRef ds:uri="http://schemas.microsoft.com/office/infopath/2007/PartnerControls"/>
    <ds:schemaRef ds:uri="6e290ce1-b2e7-4ccb-948d-a290ef611fa1"/>
    <ds:schemaRef ds:uri="909e21e3-a2e2-47ca-be0e-9c3a9bef9292"/>
  </ds:schemaRefs>
</ds:datastoreItem>
</file>

<file path=customXml/itemProps3.xml><?xml version="1.0" encoding="utf-8"?>
<ds:datastoreItem xmlns:ds="http://schemas.openxmlformats.org/officeDocument/2006/customXml" ds:itemID="{278B7B9D-C334-43F5-A907-7370B3D3BE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90ce1-b2e7-4ccb-948d-a290ef611fa1"/>
    <ds:schemaRef ds:uri="909e21e3-a2e2-47ca-be0e-9c3a9bef9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BA30B4-0140-4A9E-94BD-9B8F37636B62}">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lastModifiedBy>Eva Martín</lastModifiedBy>
  <revision>11</revision>
  <dcterms:created xsi:type="dcterms:W3CDTF">2024-09-16T02:57:00.0000000Z</dcterms:created>
  <dcterms:modified xsi:type="dcterms:W3CDTF">2024-09-18T07:49:27.5659490Z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0x0101009152DE15686E4843A3780C010A78B13A</vt:lpwstr>
  </property>
  <property fmtid="{D5CDD505-2E9C-101B-9397-08002B2CF9AE}" pid="3" name="MediaServiceImageTags">
    <vt:lpwstr/>
  </property>
</Properties>
</file>