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77777777" w:rsidR="00D44D14" w:rsidRDefault="00D44D14">
      <w:pPr>
        <w:jc w:val="both"/>
        <w:rPr>
          <w:rFonts w:ascii="Roboto" w:eastAsia="Roboto" w:hAnsi="Roboto" w:cs="Roboto"/>
          <w:b/>
          <w:sz w:val="32"/>
          <w:szCs w:val="32"/>
        </w:rPr>
      </w:pPr>
    </w:p>
    <w:p w14:paraId="1E70071A" w14:textId="77777777" w:rsidR="00D44D14" w:rsidRDefault="007B13C8">
      <w:pPr>
        <w:jc w:val="center"/>
        <w:rPr>
          <w:rFonts w:ascii="Roboto" w:eastAsia="Roboto" w:hAnsi="Roboto" w:cs="Roboto"/>
          <w:b/>
          <w:sz w:val="36"/>
          <w:szCs w:val="36"/>
        </w:rPr>
      </w:pPr>
      <w:r>
        <w:rPr>
          <w:rFonts w:ascii="Roboto" w:eastAsia="Roboto" w:hAnsi="Roboto" w:cs="Roboto"/>
          <w:b/>
          <w:sz w:val="36"/>
          <w:szCs w:val="36"/>
        </w:rPr>
        <w:t>UNIDO reconoce el valor de la infraestructura de la calidad para abordar los retos del cambio climático</w:t>
      </w:r>
    </w:p>
    <w:p w14:paraId="29D6B04F" w14:textId="77777777" w:rsidR="00D44D14" w:rsidRDefault="007B13C8">
      <w:pPr>
        <w:jc w:val="center"/>
        <w:rPr>
          <w:rFonts w:ascii="Roboto" w:eastAsia="Roboto" w:hAnsi="Roboto" w:cs="Roboto"/>
          <w:b/>
          <w:sz w:val="36"/>
          <w:szCs w:val="36"/>
        </w:rPr>
      </w:pPr>
      <w:r>
        <w:rPr>
          <w:rFonts w:ascii="Roboto" w:eastAsia="Roboto" w:hAnsi="Roboto" w:cs="Roboto"/>
          <w:b/>
          <w:sz w:val="36"/>
          <w:szCs w:val="36"/>
        </w:rPr>
        <w:t xml:space="preserve"> </w:t>
      </w:r>
    </w:p>
    <w:p w14:paraId="667CCC65" w14:textId="77777777" w:rsidR="00D44D14" w:rsidRDefault="007B13C8">
      <w:pPr>
        <w:numPr>
          <w:ilvl w:val="0"/>
          <w:numId w:val="1"/>
        </w:numPr>
        <w:pBdr>
          <w:top w:val="none" w:sz="0" w:space="0" w:color="000000"/>
          <w:bottom w:val="none" w:sz="0" w:space="0" w:color="000000"/>
          <w:right w:val="none" w:sz="0" w:space="0" w:color="000000"/>
          <w:between w:val="none" w:sz="0" w:space="0" w:color="000000"/>
        </w:pBdr>
        <w:spacing w:after="160" w:line="259" w:lineRule="auto"/>
        <w:jc w:val="both"/>
        <w:rPr>
          <w:rFonts w:ascii="Roboto" w:eastAsia="Roboto" w:hAnsi="Roboto" w:cs="Roboto"/>
          <w:b/>
          <w:sz w:val="22"/>
          <w:szCs w:val="22"/>
        </w:rPr>
      </w:pPr>
      <w:r>
        <w:rPr>
          <w:rFonts w:ascii="Roboto" w:eastAsia="Roboto" w:hAnsi="Roboto" w:cs="Roboto"/>
          <w:b/>
          <w:sz w:val="22"/>
          <w:szCs w:val="22"/>
        </w:rPr>
        <w:t>Sobre la acreditación, incide en su valor para aportar confianza en la competencia, imparcialidad y rigor de los proveedores de evaluación de la conformidad, incluyendo diferentes ámbitos relacionados con la acción climática</w:t>
      </w:r>
    </w:p>
    <w:p w14:paraId="2E4FD76C" w14:textId="77777777" w:rsidR="00D44D14" w:rsidRDefault="007B13C8">
      <w:pPr>
        <w:numPr>
          <w:ilvl w:val="0"/>
          <w:numId w:val="1"/>
        </w:numPr>
        <w:pBdr>
          <w:top w:val="none" w:sz="0" w:space="0" w:color="000000"/>
          <w:bottom w:val="none" w:sz="0" w:space="0" w:color="000000"/>
          <w:right w:val="none" w:sz="0" w:space="0" w:color="000000"/>
          <w:between w:val="none" w:sz="0" w:space="0" w:color="000000"/>
        </w:pBdr>
        <w:spacing w:after="160" w:line="259" w:lineRule="auto"/>
        <w:jc w:val="both"/>
        <w:rPr>
          <w:rFonts w:ascii="Roboto" w:eastAsia="Roboto" w:hAnsi="Roboto" w:cs="Roboto"/>
          <w:b/>
          <w:sz w:val="22"/>
          <w:szCs w:val="22"/>
        </w:rPr>
      </w:pPr>
      <w:r>
        <w:rPr>
          <w:rFonts w:ascii="Roboto" w:eastAsia="Roboto" w:hAnsi="Roboto" w:cs="Roboto"/>
          <w:b/>
          <w:sz w:val="22"/>
          <w:szCs w:val="22"/>
        </w:rPr>
        <w:t>Reconocimiento a las más de 2.000 entidades acreditadas por ENAC cuyos informes y certificados acreditados son, además, aceptados en más de 120 economías de todo el mundo</w:t>
      </w:r>
    </w:p>
    <w:p w14:paraId="639F7BC9" w14:textId="3EA6C209" w:rsidR="00D44D14" w:rsidRDefault="007B13C8" w:rsidP="440D348F">
      <w:pPr>
        <w:pBdr>
          <w:top w:val="none" w:sz="0" w:space="0" w:color="000000"/>
          <w:bottom w:val="none" w:sz="0" w:space="0" w:color="000000"/>
          <w:right w:val="none" w:sz="0" w:space="0" w:color="000000"/>
          <w:between w:val="none" w:sz="0" w:space="0" w:color="000000"/>
        </w:pBdr>
        <w:spacing w:after="160" w:line="259" w:lineRule="auto"/>
        <w:jc w:val="both"/>
        <w:rPr>
          <w:rFonts w:ascii="Roboto" w:eastAsia="Roboto" w:hAnsi="Roboto" w:cs="Roboto"/>
          <w:sz w:val="22"/>
          <w:szCs w:val="22"/>
        </w:rPr>
      </w:pPr>
      <w:r w:rsidRPr="440D348F">
        <w:rPr>
          <w:rFonts w:ascii="Roboto" w:eastAsia="Roboto" w:hAnsi="Roboto" w:cs="Roboto"/>
          <w:sz w:val="22"/>
          <w:szCs w:val="22"/>
        </w:rPr>
        <w:t xml:space="preserve">Madrid, </w:t>
      </w:r>
      <w:r w:rsidR="5803F5E0" w:rsidRPr="440D348F">
        <w:rPr>
          <w:rFonts w:ascii="Roboto" w:eastAsia="Roboto" w:hAnsi="Roboto" w:cs="Roboto"/>
          <w:sz w:val="22"/>
          <w:szCs w:val="22"/>
        </w:rPr>
        <w:t>agosto</w:t>
      </w:r>
      <w:r w:rsidRPr="440D348F">
        <w:rPr>
          <w:rFonts w:ascii="Roboto" w:eastAsia="Roboto" w:hAnsi="Roboto" w:cs="Roboto"/>
          <w:sz w:val="22"/>
          <w:szCs w:val="22"/>
        </w:rPr>
        <w:t xml:space="preserve"> de 2024. – La </w:t>
      </w:r>
      <w:r w:rsidRPr="440D348F">
        <w:rPr>
          <w:rFonts w:ascii="Roboto" w:eastAsia="Roboto" w:hAnsi="Roboto" w:cs="Roboto"/>
          <w:b/>
          <w:bCs/>
          <w:sz w:val="22"/>
          <w:szCs w:val="22"/>
        </w:rPr>
        <w:t>Organización de las Naciones Unidas para el Desarrollo Industrial</w:t>
      </w:r>
      <w:r w:rsidRPr="440D348F">
        <w:rPr>
          <w:rFonts w:ascii="Roboto" w:eastAsia="Roboto" w:hAnsi="Roboto" w:cs="Roboto"/>
          <w:sz w:val="22"/>
          <w:szCs w:val="22"/>
        </w:rPr>
        <w:t xml:space="preserve"> (</w:t>
      </w:r>
      <w:proofErr w:type="spellStart"/>
      <w:r w:rsidRPr="440D348F">
        <w:rPr>
          <w:rFonts w:ascii="Roboto" w:eastAsia="Roboto" w:hAnsi="Roboto" w:cs="Roboto"/>
          <w:sz w:val="22"/>
          <w:szCs w:val="22"/>
        </w:rPr>
        <w:t>United</w:t>
      </w:r>
      <w:proofErr w:type="spellEnd"/>
      <w:r w:rsidRPr="440D348F">
        <w:rPr>
          <w:rFonts w:ascii="Roboto" w:eastAsia="Roboto" w:hAnsi="Roboto" w:cs="Roboto"/>
          <w:sz w:val="22"/>
          <w:szCs w:val="22"/>
        </w:rPr>
        <w:t xml:space="preserve"> </w:t>
      </w:r>
      <w:proofErr w:type="spellStart"/>
      <w:r w:rsidRPr="440D348F">
        <w:rPr>
          <w:rFonts w:ascii="Roboto" w:eastAsia="Roboto" w:hAnsi="Roboto" w:cs="Roboto"/>
          <w:sz w:val="22"/>
          <w:szCs w:val="22"/>
        </w:rPr>
        <w:t>Nations</w:t>
      </w:r>
      <w:proofErr w:type="spellEnd"/>
      <w:r w:rsidRPr="440D348F">
        <w:rPr>
          <w:rFonts w:ascii="Roboto" w:eastAsia="Roboto" w:hAnsi="Roboto" w:cs="Roboto"/>
          <w:sz w:val="22"/>
          <w:szCs w:val="22"/>
        </w:rPr>
        <w:t xml:space="preserve"> Industrial </w:t>
      </w:r>
      <w:proofErr w:type="spellStart"/>
      <w:r w:rsidRPr="440D348F">
        <w:rPr>
          <w:rFonts w:ascii="Roboto" w:eastAsia="Roboto" w:hAnsi="Roboto" w:cs="Roboto"/>
          <w:sz w:val="22"/>
          <w:szCs w:val="22"/>
        </w:rPr>
        <w:t>Development</w:t>
      </w:r>
      <w:proofErr w:type="spellEnd"/>
      <w:r w:rsidRPr="440D348F">
        <w:rPr>
          <w:rFonts w:ascii="Roboto" w:eastAsia="Roboto" w:hAnsi="Roboto" w:cs="Roboto"/>
          <w:sz w:val="22"/>
          <w:szCs w:val="22"/>
        </w:rPr>
        <w:t xml:space="preserve"> </w:t>
      </w:r>
      <w:proofErr w:type="spellStart"/>
      <w:r w:rsidRPr="440D348F">
        <w:rPr>
          <w:rFonts w:ascii="Roboto" w:eastAsia="Roboto" w:hAnsi="Roboto" w:cs="Roboto"/>
          <w:sz w:val="22"/>
          <w:szCs w:val="22"/>
        </w:rPr>
        <w:t>Organization</w:t>
      </w:r>
      <w:proofErr w:type="spellEnd"/>
      <w:r w:rsidRPr="440D348F">
        <w:rPr>
          <w:rFonts w:ascii="Roboto" w:eastAsia="Roboto" w:hAnsi="Roboto" w:cs="Roboto"/>
          <w:sz w:val="22"/>
          <w:szCs w:val="22"/>
        </w:rPr>
        <w:t xml:space="preserve">, UNIDO) ha publicado un nuevo documento, </w:t>
      </w:r>
      <w:hyperlink r:id="rId11">
        <w:r w:rsidRPr="440D348F">
          <w:rPr>
            <w:rFonts w:ascii="Roboto" w:eastAsia="Roboto" w:hAnsi="Roboto" w:cs="Roboto"/>
            <w:color w:val="62899C"/>
            <w:sz w:val="22"/>
            <w:szCs w:val="22"/>
            <w:u w:val="single"/>
          </w:rPr>
          <w:t>“</w:t>
        </w:r>
        <w:proofErr w:type="spellStart"/>
        <w:r w:rsidRPr="440D348F">
          <w:rPr>
            <w:rFonts w:ascii="Roboto" w:eastAsia="Roboto" w:hAnsi="Roboto" w:cs="Roboto"/>
            <w:color w:val="62899C"/>
            <w:sz w:val="22"/>
            <w:szCs w:val="22"/>
            <w:u w:val="single"/>
          </w:rPr>
          <w:t>Tackling</w:t>
        </w:r>
        <w:proofErr w:type="spellEnd"/>
        <w:r w:rsidRPr="440D348F">
          <w:rPr>
            <w:rFonts w:ascii="Roboto" w:eastAsia="Roboto" w:hAnsi="Roboto" w:cs="Roboto"/>
            <w:color w:val="62899C"/>
            <w:sz w:val="22"/>
            <w:szCs w:val="22"/>
            <w:u w:val="single"/>
          </w:rPr>
          <w:t xml:space="preserve"> </w:t>
        </w:r>
        <w:proofErr w:type="spellStart"/>
        <w:r w:rsidRPr="440D348F">
          <w:rPr>
            <w:rFonts w:ascii="Roboto" w:eastAsia="Roboto" w:hAnsi="Roboto" w:cs="Roboto"/>
            <w:color w:val="62899C"/>
            <w:sz w:val="22"/>
            <w:szCs w:val="22"/>
            <w:u w:val="single"/>
          </w:rPr>
          <w:t>Climate</w:t>
        </w:r>
        <w:proofErr w:type="spellEnd"/>
        <w:r w:rsidRPr="440D348F">
          <w:rPr>
            <w:rFonts w:ascii="Roboto" w:eastAsia="Roboto" w:hAnsi="Roboto" w:cs="Roboto"/>
            <w:color w:val="62899C"/>
            <w:sz w:val="22"/>
            <w:szCs w:val="22"/>
            <w:u w:val="single"/>
          </w:rPr>
          <w:t xml:space="preserve"> Change: </w:t>
        </w:r>
        <w:proofErr w:type="spellStart"/>
        <w:r w:rsidRPr="440D348F">
          <w:rPr>
            <w:rFonts w:ascii="Roboto" w:eastAsia="Roboto" w:hAnsi="Roboto" w:cs="Roboto"/>
            <w:color w:val="62899C"/>
            <w:sz w:val="22"/>
            <w:szCs w:val="22"/>
            <w:u w:val="single"/>
          </w:rPr>
          <w:t>Fostering</w:t>
        </w:r>
        <w:proofErr w:type="spellEnd"/>
        <w:r w:rsidRPr="440D348F">
          <w:rPr>
            <w:rFonts w:ascii="Roboto" w:eastAsia="Roboto" w:hAnsi="Roboto" w:cs="Roboto"/>
            <w:color w:val="62899C"/>
            <w:sz w:val="22"/>
            <w:szCs w:val="22"/>
            <w:u w:val="single"/>
          </w:rPr>
          <w:t xml:space="preserve"> trust in </w:t>
        </w:r>
        <w:proofErr w:type="spellStart"/>
        <w:r w:rsidRPr="440D348F">
          <w:rPr>
            <w:rFonts w:ascii="Roboto" w:eastAsia="Roboto" w:hAnsi="Roboto" w:cs="Roboto"/>
            <w:color w:val="62899C"/>
            <w:sz w:val="22"/>
            <w:szCs w:val="22"/>
            <w:u w:val="single"/>
          </w:rPr>
          <w:t>climate</w:t>
        </w:r>
        <w:proofErr w:type="spellEnd"/>
        <w:r w:rsidRPr="440D348F">
          <w:rPr>
            <w:rFonts w:ascii="Roboto" w:eastAsia="Roboto" w:hAnsi="Roboto" w:cs="Roboto"/>
            <w:color w:val="62899C"/>
            <w:sz w:val="22"/>
            <w:szCs w:val="22"/>
            <w:u w:val="single"/>
          </w:rPr>
          <w:t xml:space="preserve"> </w:t>
        </w:r>
        <w:proofErr w:type="spellStart"/>
        <w:r w:rsidRPr="440D348F">
          <w:rPr>
            <w:rFonts w:ascii="Roboto" w:eastAsia="Roboto" w:hAnsi="Roboto" w:cs="Roboto"/>
            <w:color w:val="62899C"/>
            <w:sz w:val="22"/>
            <w:szCs w:val="22"/>
            <w:u w:val="single"/>
          </w:rPr>
          <w:t>action</w:t>
        </w:r>
        <w:proofErr w:type="spellEnd"/>
        <w:r w:rsidRPr="440D348F">
          <w:rPr>
            <w:rFonts w:ascii="Roboto" w:eastAsia="Roboto" w:hAnsi="Roboto" w:cs="Roboto"/>
            <w:color w:val="62899C"/>
            <w:sz w:val="22"/>
            <w:szCs w:val="22"/>
            <w:u w:val="single"/>
          </w:rPr>
          <w:t xml:space="preserve"> </w:t>
        </w:r>
        <w:proofErr w:type="spellStart"/>
        <w:r w:rsidRPr="440D348F">
          <w:rPr>
            <w:rFonts w:ascii="Roboto" w:eastAsia="Roboto" w:hAnsi="Roboto" w:cs="Roboto"/>
            <w:color w:val="62899C"/>
            <w:sz w:val="22"/>
            <w:szCs w:val="22"/>
            <w:u w:val="single"/>
          </w:rPr>
          <w:t>through</w:t>
        </w:r>
        <w:proofErr w:type="spellEnd"/>
        <w:r w:rsidRPr="440D348F">
          <w:rPr>
            <w:rFonts w:ascii="Roboto" w:eastAsia="Roboto" w:hAnsi="Roboto" w:cs="Roboto"/>
            <w:color w:val="62899C"/>
            <w:sz w:val="22"/>
            <w:szCs w:val="22"/>
            <w:u w:val="single"/>
          </w:rPr>
          <w:t xml:space="preserve"> </w:t>
        </w:r>
        <w:proofErr w:type="spellStart"/>
        <w:r w:rsidRPr="440D348F">
          <w:rPr>
            <w:rFonts w:ascii="Roboto" w:eastAsia="Roboto" w:hAnsi="Roboto" w:cs="Roboto"/>
            <w:color w:val="62899C"/>
            <w:sz w:val="22"/>
            <w:szCs w:val="22"/>
            <w:u w:val="single"/>
          </w:rPr>
          <w:t>quality</w:t>
        </w:r>
        <w:proofErr w:type="spellEnd"/>
        <w:r w:rsidRPr="440D348F">
          <w:rPr>
            <w:rFonts w:ascii="Roboto" w:eastAsia="Roboto" w:hAnsi="Roboto" w:cs="Roboto"/>
            <w:color w:val="62899C"/>
            <w:sz w:val="22"/>
            <w:szCs w:val="22"/>
            <w:u w:val="single"/>
          </w:rPr>
          <w:t xml:space="preserve"> and </w:t>
        </w:r>
        <w:proofErr w:type="spellStart"/>
        <w:r w:rsidRPr="440D348F">
          <w:rPr>
            <w:rFonts w:ascii="Roboto" w:eastAsia="Roboto" w:hAnsi="Roboto" w:cs="Roboto"/>
            <w:color w:val="62899C"/>
            <w:sz w:val="22"/>
            <w:szCs w:val="22"/>
            <w:u w:val="single"/>
          </w:rPr>
          <w:t>standards</w:t>
        </w:r>
        <w:proofErr w:type="spellEnd"/>
        <w:r w:rsidRPr="440D348F">
          <w:rPr>
            <w:rFonts w:ascii="Roboto" w:eastAsia="Roboto" w:hAnsi="Roboto" w:cs="Roboto"/>
            <w:color w:val="62899C"/>
            <w:sz w:val="22"/>
            <w:szCs w:val="22"/>
            <w:u w:val="single"/>
          </w:rPr>
          <w:t>”</w:t>
        </w:r>
      </w:hyperlink>
      <w:r w:rsidRPr="440D348F">
        <w:rPr>
          <w:rFonts w:ascii="Roboto" w:eastAsia="Roboto" w:hAnsi="Roboto" w:cs="Roboto"/>
          <w:color w:val="333333"/>
          <w:sz w:val="22"/>
          <w:szCs w:val="22"/>
        </w:rPr>
        <w:t xml:space="preserve">, </w:t>
      </w:r>
      <w:r w:rsidRPr="440D348F">
        <w:rPr>
          <w:rFonts w:ascii="Roboto" w:eastAsia="Roboto" w:hAnsi="Roboto" w:cs="Roboto"/>
          <w:sz w:val="22"/>
          <w:szCs w:val="22"/>
        </w:rPr>
        <w:t xml:space="preserve">en el que aborda los desafíos del cambio climático y </w:t>
      </w:r>
      <w:r w:rsidRPr="440D348F">
        <w:rPr>
          <w:rFonts w:ascii="Roboto" w:eastAsia="Roboto" w:hAnsi="Roboto" w:cs="Roboto"/>
          <w:b/>
          <w:bCs/>
          <w:sz w:val="22"/>
          <w:szCs w:val="22"/>
        </w:rPr>
        <w:t>señala a la infraestructura de calidad (QI) como un actor clave en la acción climática ya que facilitan el desarrollo del mercado global que apoye iniciativas mundiales como la Agenda 2030 de Objetivos de Desarrollo Sostenible (ODS)</w:t>
      </w:r>
      <w:r w:rsidRPr="440D348F">
        <w:rPr>
          <w:rFonts w:ascii="Roboto" w:eastAsia="Roboto" w:hAnsi="Roboto" w:cs="Roboto"/>
          <w:sz w:val="22"/>
          <w:szCs w:val="22"/>
        </w:rPr>
        <w:t>. “La infraestructura de calidad es necesaria para el funcionamiento eficaz de los mercados internos, y su reconocimiento internacional es importante para permitir el acceso</w:t>
      </w:r>
      <w:sdt>
        <w:sdtPr>
          <w:tag w:val="goog_rdk_0"/>
          <w:id w:val="-1020546037"/>
        </w:sdtPr>
        <w:sdtEndPr/>
        <w:sdtContent>
          <w:r w:rsidRPr="440D348F">
            <w:rPr>
              <w:rFonts w:ascii="Roboto" w:eastAsia="Roboto" w:hAnsi="Roboto" w:cs="Roboto"/>
              <w:sz w:val="22"/>
              <w:szCs w:val="22"/>
            </w:rPr>
            <w:t xml:space="preserve"> a</w:t>
          </w:r>
        </w:sdtContent>
      </w:sdt>
      <w:r w:rsidRPr="440D348F">
        <w:rPr>
          <w:rFonts w:ascii="Roboto" w:eastAsia="Roboto" w:hAnsi="Roboto" w:cs="Roboto"/>
          <w:sz w:val="22"/>
          <w:szCs w:val="22"/>
        </w:rPr>
        <w:t xml:space="preserve"> nuevos mercados externos”, explica el documento.</w:t>
      </w:r>
    </w:p>
    <w:p w14:paraId="68AA304F" w14:textId="77777777" w:rsidR="00D44D14" w:rsidRDefault="007B13C8">
      <w:pPr>
        <w:pBdr>
          <w:top w:val="none" w:sz="0" w:space="0" w:color="000000"/>
          <w:bottom w:val="none" w:sz="0" w:space="0" w:color="000000"/>
          <w:right w:val="none" w:sz="0" w:space="0" w:color="000000"/>
          <w:between w:val="none" w:sz="0" w:space="0" w:color="000000"/>
        </w:pBdr>
        <w:spacing w:after="160" w:line="259" w:lineRule="auto"/>
        <w:jc w:val="both"/>
        <w:rPr>
          <w:rFonts w:ascii="Roboto" w:eastAsia="Roboto" w:hAnsi="Roboto" w:cs="Roboto"/>
          <w:sz w:val="22"/>
          <w:szCs w:val="22"/>
        </w:rPr>
      </w:pPr>
      <w:r>
        <w:rPr>
          <w:rFonts w:ascii="Roboto" w:eastAsia="Roboto" w:hAnsi="Roboto" w:cs="Roboto"/>
          <w:sz w:val="22"/>
          <w:szCs w:val="22"/>
        </w:rPr>
        <w:t>Asimismo, enfatiza que “una infraestructura nacional de calidad (ICN) efectiva y eficiente es uno de los pasos más positivos y prácticos que un país puede dar para el desarrollo de una economía de crecimiento y desarrollo económico y que promueva la protección del medioambiente y el bienestar social”.</w:t>
      </w:r>
    </w:p>
    <w:p w14:paraId="3946B5C7" w14:textId="77777777" w:rsidR="00D44D14" w:rsidRDefault="007B13C8">
      <w:pPr>
        <w:pBdr>
          <w:top w:val="none" w:sz="0" w:space="0" w:color="000000"/>
          <w:bottom w:val="none" w:sz="0" w:space="0" w:color="000000"/>
          <w:right w:val="none" w:sz="0" w:space="0" w:color="000000"/>
          <w:between w:val="none" w:sz="0" w:space="0" w:color="000000"/>
        </w:pBdr>
        <w:spacing w:after="160" w:line="259" w:lineRule="auto"/>
        <w:jc w:val="both"/>
        <w:rPr>
          <w:rFonts w:ascii="Roboto" w:eastAsia="Roboto" w:hAnsi="Roboto" w:cs="Roboto"/>
          <w:sz w:val="22"/>
          <w:szCs w:val="22"/>
        </w:rPr>
      </w:pPr>
      <w:r>
        <w:rPr>
          <w:rFonts w:ascii="Roboto" w:eastAsia="Roboto" w:hAnsi="Roboto" w:cs="Roboto"/>
          <w:sz w:val="22"/>
          <w:szCs w:val="22"/>
        </w:rPr>
        <w:t>También examina cada uno de los componentes clave de la infraestructura de la calidad (normalización, metrología, acreditación, evaluación de la conformidad y partes interesadas como las autoridades competentes), y cómo estos pueden contribuir a las iniciativas de acción climática.</w:t>
      </w:r>
    </w:p>
    <w:p w14:paraId="6ED450E7" w14:textId="02E6530D" w:rsidR="00D44D14" w:rsidRDefault="007B13C8" w:rsidP="2C686A16">
      <w:pPr>
        <w:pBdr>
          <w:top w:val="none" w:sz="0" w:space="0" w:color="000000"/>
          <w:bottom w:val="none" w:sz="0" w:space="0" w:color="000000"/>
          <w:right w:val="none" w:sz="0" w:space="0" w:color="000000"/>
          <w:between w:val="none" w:sz="0" w:space="0" w:color="000000"/>
        </w:pBdr>
        <w:spacing w:after="160" w:line="259" w:lineRule="auto"/>
        <w:jc w:val="both"/>
        <w:rPr>
          <w:rFonts w:ascii="Roboto" w:eastAsia="Roboto" w:hAnsi="Roboto" w:cs="Roboto"/>
          <w:sz w:val="22"/>
          <w:szCs w:val="22"/>
        </w:rPr>
      </w:pPr>
      <w:r w:rsidRPr="2C686A16">
        <w:rPr>
          <w:rFonts w:ascii="Roboto" w:eastAsia="Roboto" w:hAnsi="Roboto" w:cs="Roboto"/>
          <w:sz w:val="22"/>
          <w:szCs w:val="22"/>
        </w:rPr>
        <w:t>Sobre la acreditación, incide en el “</w:t>
      </w:r>
      <w:r w:rsidRPr="2C686A16">
        <w:rPr>
          <w:rFonts w:ascii="Roboto" w:eastAsia="Roboto" w:hAnsi="Roboto" w:cs="Roboto"/>
          <w:b/>
          <w:bCs/>
          <w:sz w:val="22"/>
          <w:szCs w:val="22"/>
        </w:rPr>
        <w:t xml:space="preserve">valor de la acreditación para aportar confianza en la competencia, imparcialidad y rigor de los proveedores de evaluación de la conformidad, incluyendo diferentes ámbitos relacionados con la acción climática </w:t>
      </w:r>
      <w:r w:rsidRPr="2C686A16">
        <w:rPr>
          <w:rFonts w:ascii="Roboto" w:eastAsia="Roboto" w:hAnsi="Roboto" w:cs="Roboto"/>
          <w:sz w:val="22"/>
          <w:szCs w:val="22"/>
        </w:rPr>
        <w:t>como el control de la medición de las emisiones de carbono, la inspección de vehículos, la certificación de sistemas de gestión ambiental o energética y la verificación y validación de informes de datos sobre el cambio climático…”. Asimismo, señala que el comercio internacional y los compromisos con los objetivos y metas sociales y ambientales a nivel global se ven reforzados por acuerdos de reconocimiento mutuo de las organizaciones de acreditadores internacionales (ILAC e IAF)”. Añade, además, que son “una herramienta para facilitar la aceptación de productos y servicios a través de las fronteras nacionales, creando así un marco para el comercio internacional mediante la eliminación de barreras técnicas”.</w:t>
      </w:r>
    </w:p>
    <w:p w14:paraId="05A7CF7B" w14:textId="77777777" w:rsidR="00D44D14" w:rsidRDefault="007B13C8" w:rsidP="2C686A16">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after="160" w:line="259" w:lineRule="auto"/>
        <w:jc w:val="both"/>
        <w:rPr>
          <w:rFonts w:ascii="Roboto" w:eastAsia="Roboto" w:hAnsi="Roboto" w:cs="Roboto"/>
          <w:color w:val="FF0000"/>
          <w:sz w:val="22"/>
          <w:szCs w:val="22"/>
        </w:rPr>
      </w:pPr>
      <w:r w:rsidRPr="2C686A16">
        <w:rPr>
          <w:rFonts w:ascii="Roboto" w:eastAsia="Roboto" w:hAnsi="Roboto" w:cs="Roboto"/>
          <w:sz w:val="22"/>
          <w:szCs w:val="22"/>
        </w:rPr>
        <w:lastRenderedPageBreak/>
        <w:t xml:space="preserve">Este documento vuelve a poner de manifiesto </w:t>
      </w:r>
      <w:r w:rsidRPr="2C686A16">
        <w:rPr>
          <w:rFonts w:ascii="Roboto" w:eastAsia="Roboto" w:hAnsi="Roboto" w:cs="Roboto"/>
          <w:b/>
          <w:bCs/>
          <w:sz w:val="22"/>
          <w:szCs w:val="22"/>
        </w:rPr>
        <w:t>el reconocimiento de la acreditación por parte de los agentes que operan la economía mundial (administraciones y mercado) ratificando una vez más su valor como herramienta para abrirse paso en los mercados exteriores</w:t>
      </w:r>
      <w:r w:rsidRPr="2C686A16">
        <w:rPr>
          <w:rFonts w:ascii="Roboto" w:eastAsia="Roboto" w:hAnsi="Roboto" w:cs="Roboto"/>
          <w:sz w:val="22"/>
          <w:szCs w:val="22"/>
        </w:rPr>
        <w:t xml:space="preserve">; ello otorga un gran valor a las más de </w:t>
      </w:r>
      <w:r w:rsidRPr="2C686A16">
        <w:rPr>
          <w:rFonts w:ascii="Roboto" w:eastAsia="Roboto" w:hAnsi="Roboto" w:cs="Roboto"/>
          <w:b/>
          <w:bCs/>
          <w:sz w:val="22"/>
          <w:szCs w:val="22"/>
        </w:rPr>
        <w:t>2.000 entidades acreditadas</w:t>
      </w:r>
      <w:r w:rsidRPr="2C686A16">
        <w:rPr>
          <w:rFonts w:ascii="Roboto" w:eastAsia="Roboto" w:hAnsi="Roboto" w:cs="Roboto"/>
          <w:sz w:val="22"/>
          <w:szCs w:val="22"/>
        </w:rPr>
        <w:t xml:space="preserve"> por la </w:t>
      </w:r>
      <w:hyperlink r:id="rId12">
        <w:r w:rsidRPr="2C686A16">
          <w:rPr>
            <w:rFonts w:ascii="Roboto" w:eastAsia="Roboto" w:hAnsi="Roboto" w:cs="Roboto"/>
            <w:b/>
            <w:bCs/>
            <w:sz w:val="22"/>
            <w:szCs w:val="22"/>
            <w:u w:val="single"/>
          </w:rPr>
          <w:t>Entidad Nacional de Acreditación</w:t>
        </w:r>
      </w:hyperlink>
      <w:r w:rsidRPr="2C686A16">
        <w:rPr>
          <w:rFonts w:ascii="Roboto" w:eastAsia="Roboto" w:hAnsi="Roboto" w:cs="Roboto"/>
          <w:sz w:val="22"/>
          <w:szCs w:val="22"/>
        </w:rPr>
        <w:t xml:space="preserve"> (ENAC) cuyos informes y certificados acreditados son aceptados en más de 120 economías de todo el mundo. </w:t>
      </w:r>
    </w:p>
    <w:p w14:paraId="3512BFCF" w14:textId="67995F5E" w:rsidR="00D44D14" w:rsidRPr="00CE1646" w:rsidRDefault="007B13C8">
      <w:pPr>
        <w:pBdr>
          <w:top w:val="none" w:sz="0" w:space="0" w:color="000000"/>
          <w:bottom w:val="none" w:sz="0" w:space="0" w:color="000000"/>
          <w:right w:val="none" w:sz="0" w:space="0" w:color="000000"/>
          <w:between w:val="none" w:sz="0" w:space="0" w:color="000000"/>
        </w:pBdr>
        <w:spacing w:after="160" w:line="259" w:lineRule="auto"/>
        <w:jc w:val="both"/>
        <w:rPr>
          <w:rFonts w:ascii="Roboto" w:eastAsia="Roboto" w:hAnsi="Roboto" w:cs="Roboto"/>
          <w:b/>
          <w:color w:val="62899C"/>
          <w:sz w:val="22"/>
          <w:szCs w:val="22"/>
          <w:u w:val="single"/>
          <w:lang w:val="en-GB"/>
        </w:rPr>
      </w:pPr>
      <w:r w:rsidRPr="2C686A16">
        <w:rPr>
          <w:rFonts w:ascii="Roboto" w:eastAsia="Roboto" w:hAnsi="Roboto" w:cs="Roboto"/>
          <w:sz w:val="22"/>
          <w:szCs w:val="22"/>
        </w:rPr>
        <w:t xml:space="preserve">El documento elaborado por UNIDO se ha realizado en colaboración con el resto de </w:t>
      </w:r>
      <w:bookmarkStart w:id="0" w:name="_Int_bRrnDh4k"/>
      <w:proofErr w:type="gramStart"/>
      <w:r w:rsidRPr="2C686A16">
        <w:rPr>
          <w:rFonts w:ascii="Roboto" w:eastAsia="Roboto" w:hAnsi="Roboto" w:cs="Roboto"/>
          <w:sz w:val="22"/>
          <w:szCs w:val="22"/>
        </w:rPr>
        <w:t>miembros</w:t>
      </w:r>
      <w:bookmarkEnd w:id="0"/>
      <w:proofErr w:type="gramEnd"/>
      <w:r w:rsidRPr="2C686A16">
        <w:rPr>
          <w:rFonts w:ascii="Roboto" w:eastAsia="Roboto" w:hAnsi="Roboto" w:cs="Roboto"/>
          <w:sz w:val="22"/>
          <w:szCs w:val="22"/>
        </w:rPr>
        <w:t xml:space="preserve"> de la Red Internacional sobre Infraestructura de Calidad (</w:t>
      </w:r>
      <w:proofErr w:type="spellStart"/>
      <w:r w:rsidRPr="2C686A16">
        <w:rPr>
          <w:rFonts w:ascii="Roboto" w:eastAsia="Roboto" w:hAnsi="Roboto" w:cs="Roboto"/>
          <w:sz w:val="22"/>
          <w:szCs w:val="22"/>
        </w:rPr>
        <w:t>INetQI</w:t>
      </w:r>
      <w:proofErr w:type="spellEnd"/>
      <w:r w:rsidRPr="2C686A16">
        <w:rPr>
          <w:rFonts w:ascii="Roboto" w:eastAsia="Roboto" w:hAnsi="Roboto" w:cs="Roboto"/>
          <w:sz w:val="22"/>
          <w:szCs w:val="22"/>
        </w:rPr>
        <w:t xml:space="preserve">), en particular la Organización Internacional de Normalización (ISO), la Comisión Electrotécnica Internacional (IEC), la Oficina Internacional de Pesos y Medidas (BIPM) e International </w:t>
      </w:r>
      <w:proofErr w:type="spellStart"/>
      <w:r w:rsidRPr="2C686A16">
        <w:rPr>
          <w:rFonts w:ascii="Roboto" w:eastAsia="Roboto" w:hAnsi="Roboto" w:cs="Roboto"/>
          <w:sz w:val="22"/>
          <w:szCs w:val="22"/>
        </w:rPr>
        <w:t>Accreditation</w:t>
      </w:r>
      <w:proofErr w:type="spellEnd"/>
      <w:r w:rsidRPr="2C686A16">
        <w:rPr>
          <w:rFonts w:ascii="Roboto" w:eastAsia="Roboto" w:hAnsi="Roboto" w:cs="Roboto"/>
          <w:sz w:val="22"/>
          <w:szCs w:val="22"/>
        </w:rPr>
        <w:t xml:space="preserve"> </w:t>
      </w:r>
      <w:proofErr w:type="spellStart"/>
      <w:r w:rsidRPr="2C686A16">
        <w:rPr>
          <w:rFonts w:ascii="Roboto" w:eastAsia="Roboto" w:hAnsi="Roboto" w:cs="Roboto"/>
          <w:sz w:val="22"/>
          <w:szCs w:val="22"/>
        </w:rPr>
        <w:t>Forum</w:t>
      </w:r>
      <w:proofErr w:type="spellEnd"/>
      <w:r w:rsidRPr="2C686A16">
        <w:rPr>
          <w:rFonts w:ascii="Roboto" w:eastAsia="Roboto" w:hAnsi="Roboto" w:cs="Roboto"/>
          <w:sz w:val="22"/>
          <w:szCs w:val="22"/>
        </w:rPr>
        <w:t xml:space="preserve"> (IAF).</w:t>
      </w:r>
      <w:r w:rsidR="00CE1646">
        <w:rPr>
          <w:rFonts w:ascii="Roboto" w:eastAsia="Roboto" w:hAnsi="Roboto" w:cs="Roboto"/>
          <w:sz w:val="22"/>
          <w:szCs w:val="22"/>
        </w:rPr>
        <w:t xml:space="preserve"> </w:t>
      </w:r>
      <w:r w:rsidRPr="00CE1646">
        <w:rPr>
          <w:rFonts w:ascii="Roboto" w:eastAsia="Roboto" w:hAnsi="Roboto" w:cs="Roboto"/>
          <w:sz w:val="22"/>
          <w:szCs w:val="22"/>
          <w:lang w:val="en-GB"/>
        </w:rPr>
        <w:t xml:space="preserve">Consulta </w:t>
      </w:r>
      <w:proofErr w:type="spellStart"/>
      <w:r w:rsidRPr="00CE1646">
        <w:rPr>
          <w:rFonts w:ascii="Roboto" w:eastAsia="Roboto" w:hAnsi="Roboto" w:cs="Roboto"/>
          <w:sz w:val="22"/>
          <w:szCs w:val="22"/>
          <w:lang w:val="en-GB"/>
        </w:rPr>
        <w:t>el</w:t>
      </w:r>
      <w:proofErr w:type="spellEnd"/>
      <w:r w:rsidRPr="00CE1646">
        <w:rPr>
          <w:rFonts w:ascii="Roboto" w:eastAsia="Roboto" w:hAnsi="Roboto" w:cs="Roboto"/>
          <w:sz w:val="22"/>
          <w:szCs w:val="22"/>
          <w:lang w:val="en-GB"/>
        </w:rPr>
        <w:t xml:space="preserve"> </w:t>
      </w:r>
      <w:proofErr w:type="spellStart"/>
      <w:r w:rsidRPr="00CE1646">
        <w:rPr>
          <w:rFonts w:ascii="Roboto" w:eastAsia="Roboto" w:hAnsi="Roboto" w:cs="Roboto"/>
          <w:sz w:val="22"/>
          <w:szCs w:val="22"/>
          <w:lang w:val="en-GB"/>
        </w:rPr>
        <w:t>documento</w:t>
      </w:r>
      <w:proofErr w:type="spellEnd"/>
      <w:r w:rsidRPr="00CE1646">
        <w:rPr>
          <w:rFonts w:ascii="Roboto" w:eastAsia="Roboto" w:hAnsi="Roboto" w:cs="Roboto"/>
          <w:color w:val="333333"/>
          <w:sz w:val="22"/>
          <w:szCs w:val="22"/>
          <w:lang w:val="en-GB"/>
        </w:rPr>
        <w:t xml:space="preserve"> </w:t>
      </w:r>
      <w:hyperlink r:id="rId13">
        <w:r w:rsidRPr="00CE1646">
          <w:rPr>
            <w:rFonts w:ascii="Roboto" w:eastAsia="Roboto" w:hAnsi="Roboto" w:cs="Roboto"/>
            <w:b/>
            <w:color w:val="62899C"/>
            <w:sz w:val="22"/>
            <w:szCs w:val="22"/>
            <w:u w:val="single"/>
            <w:lang w:val="en-GB"/>
          </w:rPr>
          <w:t>"Tackling Climate Change: Fostering trust in climate action through quality and standards".</w:t>
        </w:r>
      </w:hyperlink>
    </w:p>
    <w:p w14:paraId="02EB378F" w14:textId="77777777" w:rsidR="00D44D14" w:rsidRPr="00CE1646" w:rsidRDefault="00D44D14">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lang w:val="en-GB"/>
        </w:rPr>
      </w:pPr>
    </w:p>
    <w:p w14:paraId="69A1FD12" w14:textId="77777777" w:rsidR="00D44D14" w:rsidRDefault="007B13C8">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color w:val="E83544"/>
          <w:sz w:val="22"/>
          <w:szCs w:val="22"/>
        </w:rPr>
      </w:pPr>
      <w:r>
        <w:rPr>
          <w:rFonts w:ascii="Roboto" w:eastAsia="Roboto" w:hAnsi="Roboto" w:cs="Roboto"/>
          <w:b/>
          <w:color w:val="E83544"/>
          <w:sz w:val="22"/>
          <w:szCs w:val="22"/>
        </w:rPr>
        <w:t>Sobre ENAC</w:t>
      </w:r>
      <w:r>
        <w:rPr>
          <w:rFonts w:ascii="Roboto" w:eastAsia="Roboto" w:hAnsi="Roboto" w:cs="Roboto"/>
          <w:color w:val="E83544"/>
          <w:sz w:val="22"/>
          <w:szCs w:val="22"/>
        </w:rPr>
        <w:t xml:space="preserve"> </w:t>
      </w:r>
    </w:p>
    <w:p w14:paraId="6A05A809" w14:textId="77777777" w:rsidR="00D44D14" w:rsidRDefault="00D44D14">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color w:val="E83544"/>
          <w:sz w:val="22"/>
          <w:szCs w:val="22"/>
        </w:rPr>
      </w:pPr>
    </w:p>
    <w:p w14:paraId="3DBFD2AC" w14:textId="77777777" w:rsidR="00D44D14" w:rsidRDefault="007B13C8">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La Entidad Nacional de Acreditación – ENAC – es la entidad designada por el Gobierno para operar en España como el único Organismo Nacional de Acreditación, en aplicación del Reglamento (CE) nº765/2008 del Parlamento Europeo que regula el funcionamiento de la acreditación en Europa. </w:t>
      </w:r>
    </w:p>
    <w:p w14:paraId="32663661" w14:textId="77777777" w:rsidR="00D44D14" w:rsidRDefault="007B13C8">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color w:val="1F497D"/>
          <w:sz w:val="22"/>
          <w:szCs w:val="22"/>
        </w:rPr>
      </w:pPr>
      <w:r>
        <w:rPr>
          <w:rFonts w:ascii="Roboto" w:eastAsia="Roboto" w:hAnsi="Roboto" w:cs="Roboto"/>
          <w:color w:val="1F497D"/>
          <w:sz w:val="22"/>
          <w:szCs w:val="22"/>
        </w:rPr>
        <w:t xml:space="preserve">  </w:t>
      </w:r>
    </w:p>
    <w:p w14:paraId="121F981E" w14:textId="77777777" w:rsidR="00D44D14" w:rsidRDefault="007B13C8">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ENAC tiene como misión generar confianza en el mercado y en la sociedad evaluando, a través de un sistema conforme a normas internacionales, la competencia técnica de laboratorios de ensayo o calibración, entidades de inspección, entidades de certificación y verificadores medioambientales que desarrollen su actividad en cualquier sector: industria,  energía, medio ambiente, sanidad, alimentación, investigación, desarrollo e innovación, transportes, telecomunicaciones, turismo, servicios, construcción, etc. Contribuye, así, a la seguridad y el bienestar de las personas, la calidad de los productos y servicios, la protección del medioambiente y, con ello, al aumento de la competitividad de los productos y servicios españoles y a una disminución de los costes para la sociedad debidos a estas actividades.  </w:t>
      </w:r>
    </w:p>
    <w:p w14:paraId="455DE78E" w14:textId="77777777" w:rsidR="00D44D14" w:rsidRDefault="007B13C8">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  </w:t>
      </w:r>
    </w:p>
    <w:p w14:paraId="54638B6E" w14:textId="77777777" w:rsidR="00D44D14" w:rsidRDefault="007B13C8">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La marca ENAC es la manera de distinguir si un certificado o informe está acreditado o no. Aporta confianza en que la organización que lo emite es técnicamente competente para llevar a cabo la tarea que realiza, y lo es tanto en España como en los 120 países en los que la marca de ENAC es reconocida y aceptada gracias a los acuerdos de reconocimiento que ENAC ha suscrito con las entidades de acreditación de esos países. </w:t>
      </w:r>
    </w:p>
    <w:p w14:paraId="0A6959E7" w14:textId="77777777" w:rsidR="00D44D14" w:rsidRDefault="007B13C8">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 </w:t>
      </w:r>
    </w:p>
    <w:p w14:paraId="72ADE443" w14:textId="77777777" w:rsidR="00D44D14" w:rsidRDefault="00CE1646">
      <w:pPr>
        <w:pBdr>
          <w:bottom w:val="single" w:sz="12" w:space="1" w:color="000000"/>
        </w:pBdr>
        <w:jc w:val="both"/>
        <w:rPr>
          <w:rFonts w:ascii="Roboto" w:eastAsia="Roboto" w:hAnsi="Roboto" w:cs="Roboto"/>
          <w:color w:val="E83544"/>
          <w:sz w:val="22"/>
          <w:szCs w:val="22"/>
        </w:rPr>
      </w:pPr>
      <w:hyperlink r:id="rId14">
        <w:r w:rsidR="007B13C8">
          <w:rPr>
            <w:rFonts w:ascii="Roboto" w:eastAsia="Roboto" w:hAnsi="Roboto" w:cs="Roboto"/>
            <w:color w:val="E83544"/>
            <w:sz w:val="22"/>
            <w:szCs w:val="22"/>
            <w:u w:val="single"/>
          </w:rPr>
          <w:t>www.enac.es</w:t>
        </w:r>
      </w:hyperlink>
      <w:r w:rsidR="007B13C8">
        <w:rPr>
          <w:rFonts w:ascii="Roboto" w:eastAsia="Roboto" w:hAnsi="Roboto" w:cs="Roboto"/>
          <w:color w:val="E83544"/>
          <w:sz w:val="22"/>
          <w:szCs w:val="22"/>
        </w:rPr>
        <w:t xml:space="preserve"> </w:t>
      </w:r>
    </w:p>
    <w:p w14:paraId="100C5B58" w14:textId="77777777" w:rsidR="00D44D14" w:rsidRDefault="007B13C8">
      <w:pPr>
        <w:pBdr>
          <w:bottom w:val="single" w:sz="12" w:space="1" w:color="000000"/>
        </w:pBdr>
        <w:jc w:val="both"/>
        <w:rPr>
          <w:rFonts w:ascii="Roboto" w:eastAsia="Roboto" w:hAnsi="Roboto" w:cs="Roboto"/>
          <w:color w:val="0000FF"/>
          <w:sz w:val="22"/>
          <w:szCs w:val="22"/>
        </w:rPr>
      </w:pPr>
      <w:r>
        <w:rPr>
          <w:rFonts w:ascii="Roboto" w:eastAsia="Roboto" w:hAnsi="Roboto" w:cs="Roboto"/>
          <w:color w:val="0000FF"/>
          <w:sz w:val="22"/>
          <w:szCs w:val="22"/>
        </w:rPr>
        <w:t xml:space="preserve"> </w:t>
      </w:r>
    </w:p>
    <w:p w14:paraId="54F9AE05" w14:textId="77777777" w:rsidR="00D44D14" w:rsidRDefault="007B13C8">
      <w:pPr>
        <w:pBdr>
          <w:bottom w:val="single" w:sz="12" w:space="1" w:color="000000"/>
        </w:pBdr>
        <w:jc w:val="both"/>
        <w:rPr>
          <w:rFonts w:ascii="Roboto" w:eastAsia="Roboto" w:hAnsi="Roboto" w:cs="Roboto"/>
          <w:sz w:val="22"/>
          <w:szCs w:val="22"/>
        </w:rPr>
      </w:pPr>
      <w:r>
        <w:rPr>
          <w:rFonts w:ascii="Roboto" w:eastAsia="Roboto" w:hAnsi="Roboto" w:cs="Roboto"/>
          <w:color w:val="0000FF"/>
          <w:sz w:val="22"/>
          <w:szCs w:val="22"/>
        </w:rPr>
        <w:t xml:space="preserve"> </w:t>
      </w:r>
      <w:r>
        <w:rPr>
          <w:rFonts w:ascii="Roboto" w:eastAsia="Roboto" w:hAnsi="Roboto" w:cs="Roboto"/>
          <w:noProof/>
          <w:color w:val="0000FF"/>
          <w:sz w:val="22"/>
          <w:szCs w:val="22"/>
        </w:rPr>
        <w:drawing>
          <wp:inline distT="114300" distB="114300" distL="114300" distR="114300" wp14:anchorId="543E6AAC" wp14:editId="07777777">
            <wp:extent cx="319366" cy="319366"/>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319366" cy="319366"/>
                    </a:xfrm>
                    <a:prstGeom prst="rect">
                      <a:avLst/>
                    </a:prstGeom>
                    <a:ln/>
                  </pic:spPr>
                </pic:pic>
              </a:graphicData>
            </a:graphic>
          </wp:inline>
        </w:drawing>
      </w:r>
      <w:r>
        <w:rPr>
          <w:rFonts w:ascii="Roboto" w:eastAsia="Roboto" w:hAnsi="Roboto" w:cs="Roboto"/>
          <w:color w:val="0000FF"/>
          <w:sz w:val="22"/>
          <w:szCs w:val="22"/>
        </w:rPr>
        <w:t xml:space="preserve">  </w:t>
      </w:r>
      <w:r>
        <w:rPr>
          <w:rFonts w:ascii="Roboto" w:eastAsia="Roboto" w:hAnsi="Roboto" w:cs="Roboto"/>
          <w:noProof/>
          <w:color w:val="0000FF"/>
          <w:sz w:val="22"/>
          <w:szCs w:val="22"/>
        </w:rPr>
        <w:drawing>
          <wp:inline distT="0" distB="0" distL="0" distR="0" wp14:anchorId="7EC7CAA6" wp14:editId="07777777">
            <wp:extent cx="316348" cy="316348"/>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16348" cy="316348"/>
                    </a:xfrm>
                    <a:prstGeom prst="rect">
                      <a:avLst/>
                    </a:prstGeom>
                    <a:ln/>
                  </pic:spPr>
                </pic:pic>
              </a:graphicData>
            </a:graphic>
          </wp:inline>
        </w:drawing>
      </w:r>
    </w:p>
    <w:p w14:paraId="5A39BBE3" w14:textId="77777777" w:rsidR="00D44D14" w:rsidRDefault="00D44D14">
      <w:pPr>
        <w:pBdr>
          <w:bottom w:val="single" w:sz="12" w:space="1" w:color="000000"/>
        </w:pBdr>
        <w:jc w:val="both"/>
        <w:rPr>
          <w:rFonts w:ascii="Roboto" w:eastAsia="Roboto" w:hAnsi="Roboto" w:cs="Roboto"/>
          <w:color w:val="E83544"/>
          <w:sz w:val="22"/>
          <w:szCs w:val="22"/>
        </w:rPr>
      </w:pPr>
    </w:p>
    <w:p w14:paraId="41C8F396" w14:textId="77777777" w:rsidR="00D44D14" w:rsidRDefault="00D44D14">
      <w:pPr>
        <w:jc w:val="both"/>
        <w:rPr>
          <w:rFonts w:ascii="Roboto" w:eastAsia="Roboto" w:hAnsi="Roboto" w:cs="Roboto"/>
          <w:color w:val="E83544"/>
          <w:sz w:val="22"/>
          <w:szCs w:val="22"/>
        </w:rPr>
      </w:pPr>
    </w:p>
    <w:p w14:paraId="70AF4A84" w14:textId="77777777" w:rsidR="00D44D14" w:rsidRDefault="007B13C8">
      <w:pPr>
        <w:jc w:val="both"/>
        <w:rPr>
          <w:rFonts w:ascii="Roboto" w:eastAsia="Roboto" w:hAnsi="Roboto" w:cs="Roboto"/>
          <w:sz w:val="22"/>
          <w:szCs w:val="22"/>
        </w:rPr>
      </w:pPr>
      <w:r>
        <w:rPr>
          <w:rFonts w:ascii="Roboto" w:eastAsia="Roboto" w:hAnsi="Roboto" w:cs="Roboto"/>
          <w:sz w:val="22"/>
          <w:szCs w:val="22"/>
        </w:rPr>
        <w:t>Para más información sobre la nota de prensa, resolver dudas o gestionar entrevistas</w:t>
      </w:r>
    </w:p>
    <w:p w14:paraId="527B165C" w14:textId="77777777" w:rsidR="00D44D14" w:rsidRDefault="007B13C8">
      <w:pPr>
        <w:jc w:val="both"/>
        <w:rPr>
          <w:rFonts w:ascii="Roboto" w:eastAsia="Roboto" w:hAnsi="Roboto" w:cs="Roboto"/>
          <w:sz w:val="22"/>
          <w:szCs w:val="22"/>
        </w:rPr>
      </w:pPr>
      <w:r>
        <w:rPr>
          <w:rFonts w:ascii="Roboto" w:eastAsia="Roboto" w:hAnsi="Roboto" w:cs="Roboto"/>
          <w:sz w:val="22"/>
          <w:szCs w:val="22"/>
        </w:rPr>
        <w:t>Eva Martín</w:t>
      </w:r>
    </w:p>
    <w:p w14:paraId="60061E4C" w14:textId="3DDDA89B" w:rsidR="00D44D14" w:rsidRDefault="007B13C8" w:rsidP="00CE1646">
      <w:pPr>
        <w:jc w:val="both"/>
        <w:rPr>
          <w:rFonts w:ascii="Calibri" w:eastAsia="Calibri" w:hAnsi="Calibri" w:cs="Calibri"/>
          <w:highlight w:val="white"/>
        </w:rPr>
      </w:pPr>
      <w:r>
        <w:rPr>
          <w:rFonts w:ascii="Roboto" w:eastAsia="Roboto" w:hAnsi="Roboto" w:cs="Roboto"/>
          <w:sz w:val="22"/>
          <w:szCs w:val="22"/>
        </w:rPr>
        <w:t xml:space="preserve">Tfno. 628 17 49 01 / </w:t>
      </w:r>
      <w:r>
        <w:rPr>
          <w:rFonts w:ascii="Roboto" w:eastAsia="Roboto" w:hAnsi="Roboto" w:cs="Roboto"/>
          <w:color w:val="E83544"/>
          <w:sz w:val="22"/>
          <w:szCs w:val="22"/>
        </w:rPr>
        <w:t xml:space="preserve"> </w:t>
      </w:r>
      <w:hyperlink r:id="rId17">
        <w:r>
          <w:rPr>
            <w:rFonts w:ascii="Roboto" w:eastAsia="Roboto" w:hAnsi="Roboto" w:cs="Roboto"/>
            <w:color w:val="E83544"/>
            <w:sz w:val="22"/>
            <w:szCs w:val="22"/>
            <w:u w:val="single"/>
          </w:rPr>
          <w:t>evamc@varenga.es</w:t>
        </w:r>
      </w:hyperlink>
    </w:p>
    <w:sectPr w:rsidR="00D44D14">
      <w:headerReference w:type="even" r:id="rId18"/>
      <w:headerReference w:type="default" r:id="rId19"/>
      <w:footerReference w:type="even" r:id="rId20"/>
      <w:footerReference w:type="default" r:id="rId21"/>
      <w:headerReference w:type="first" r:id="rId22"/>
      <w:footerReference w:type="first" r:id="rId23"/>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FB0818" w14:textId="77777777" w:rsidR="007B13C8" w:rsidRDefault="007B13C8">
      <w:r>
        <w:separator/>
      </w:r>
    </w:p>
  </w:endnote>
  <w:endnote w:type="continuationSeparator" w:id="0">
    <w:p w14:paraId="049F31CB" w14:textId="77777777" w:rsidR="007B13C8" w:rsidRDefault="007B1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embedRegular r:id="rId1" w:fontKey="{9B29B586-44AA-4B1E-873F-28D428F4B5A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BABD53EE-8118-481E-8A41-B4716A231377}"/>
    <w:embedItalic r:id="rId3" w:fontKey="{9CCC07BC-CD11-4987-9728-9C797F03AD65}"/>
  </w:font>
  <w:font w:name="Roboto">
    <w:charset w:val="00"/>
    <w:family w:val="auto"/>
    <w:pitch w:val="variable"/>
    <w:sig w:usb0="E0000AFF" w:usb1="5000217F" w:usb2="00000021" w:usb3="00000000" w:csb0="0000019F" w:csb1="00000000"/>
    <w:embedRegular r:id="rId4" w:fontKey="{D049968B-4828-4B62-ACFD-33FFACF70A5D}"/>
    <w:embedBold r:id="rId5" w:fontKey="{45F93AEB-9E75-42FA-A145-F861F55AE882}"/>
  </w:font>
  <w:font w:name="Calibri">
    <w:panose1 w:val="020F0502020204030204"/>
    <w:charset w:val="00"/>
    <w:family w:val="swiss"/>
    <w:pitch w:val="variable"/>
    <w:sig w:usb0="E4002EFF" w:usb1="C000247B" w:usb2="00000009" w:usb3="00000000" w:csb0="000001FF" w:csb1="00000000"/>
    <w:embedRegular r:id="rId6" w:fontKey="{0FA01A0D-BF8F-4569-A8F4-B6E18A1A14DA}"/>
    <w:embedBold r:id="rId7" w:fontKey="{2FE7EFB2-AB33-4EAD-BC74-C70169A3B21F}"/>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894D6E72-B62F-479E-A5EA-8F6199ADEB6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EC669" w14:textId="77777777" w:rsidR="00D44D14" w:rsidRDefault="00D44D14">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EDD17" w14:textId="34D521F2" w:rsidR="00D44D14" w:rsidRDefault="007B13C8">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sidR="00CE1646">
      <w:rPr>
        <w:color w:val="000000"/>
      </w:rPr>
      <w:fldChar w:fldCharType="separate"/>
    </w:r>
    <w:r w:rsidR="00CE1646">
      <w:rPr>
        <w:noProof/>
        <w:color w:val="000000"/>
      </w:rPr>
      <w:t>1</w:t>
    </w:r>
    <w:r>
      <w:rPr>
        <w:color w:val="000000"/>
      </w:rPr>
      <w:fldChar w:fldCharType="end"/>
    </w:r>
  </w:p>
  <w:p w14:paraId="4B94D5A5" w14:textId="77777777" w:rsidR="00D44D14" w:rsidRDefault="00D44D14">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6B9AB" w14:textId="77777777" w:rsidR="00D44D14" w:rsidRDefault="00D44D14">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486C05" w14:textId="77777777" w:rsidR="007B13C8" w:rsidRDefault="007B13C8">
      <w:r>
        <w:separator/>
      </w:r>
    </w:p>
  </w:footnote>
  <w:footnote w:type="continuationSeparator" w:id="0">
    <w:p w14:paraId="4101652C" w14:textId="77777777" w:rsidR="007B13C8" w:rsidRDefault="007B13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AFD9C" w14:textId="77777777" w:rsidR="00D44D14" w:rsidRDefault="00D44D14">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838D1" w14:textId="77777777" w:rsidR="00D44D14" w:rsidRDefault="007B13C8">
    <w:pPr>
      <w:ind w:left="-120"/>
      <w:jc w:val="both"/>
      <w:rPr>
        <w:rFonts w:ascii="Calibri" w:eastAsia="Calibri" w:hAnsi="Calibri" w:cs="Calibri"/>
        <w:b/>
        <w:sz w:val="40"/>
        <w:szCs w:val="40"/>
      </w:rPr>
    </w:pPr>
    <w:r>
      <w:rPr>
        <w:noProof/>
      </w:rPr>
      <w:drawing>
        <wp:anchor distT="114300" distB="114300" distL="114300" distR="114300" simplePos="0" relativeHeight="251658240" behindDoc="0" locked="0" layoutInCell="1" hidden="0" allowOverlap="1" wp14:anchorId="68EAC963" wp14:editId="07777777">
          <wp:simplePos x="0" y="0"/>
          <wp:positionH relativeFrom="column">
            <wp:posOffset>4114800</wp:posOffset>
          </wp:positionH>
          <wp:positionV relativeFrom="paragraph">
            <wp:posOffset>-304791</wp:posOffset>
          </wp:positionV>
          <wp:extent cx="1547842" cy="997267"/>
          <wp:effectExtent l="0" t="0" r="0" b="0"/>
          <wp:wrapSquare wrapText="bothSides" distT="114300" distB="114300" distL="114300" distR="114300"/>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547842" cy="997267"/>
                  </a:xfrm>
                  <a:prstGeom prst="rect">
                    <a:avLst/>
                  </a:prstGeom>
                  <a:ln/>
                </pic:spPr>
              </pic:pic>
            </a:graphicData>
          </a:graphic>
        </wp:anchor>
      </w:drawing>
    </w:r>
  </w:p>
  <w:p w14:paraId="12ECC7C7" w14:textId="77777777" w:rsidR="00D44D14" w:rsidRDefault="007B13C8">
    <w:pPr>
      <w:ind w:left="-120"/>
      <w:jc w:val="both"/>
      <w:rPr>
        <w:rFonts w:ascii="Roboto" w:eastAsia="Roboto" w:hAnsi="Roboto" w:cs="Roboto"/>
        <w:sz w:val="22"/>
        <w:szCs w:val="22"/>
      </w:rPr>
    </w:pPr>
    <w:r>
      <w:rPr>
        <w:rFonts w:ascii="Roboto" w:eastAsia="Roboto" w:hAnsi="Roboto" w:cs="Roboto"/>
        <w:b/>
        <w:sz w:val="40"/>
        <w:szCs w:val="40"/>
      </w:rPr>
      <w:t>NOTA DE PRENSA</w:t>
    </w:r>
    <w:r>
      <w:rPr>
        <w:rFonts w:ascii="Roboto" w:eastAsia="Roboto" w:hAnsi="Roboto" w:cs="Roboto"/>
        <w:sz w:val="22"/>
        <w:szCs w:val="22"/>
      </w:rPr>
      <w:t xml:space="preserve"> </w:t>
    </w:r>
  </w:p>
  <w:p w14:paraId="53128261" w14:textId="77777777" w:rsidR="00D44D14" w:rsidRDefault="00D44D14">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9056E" w14:textId="77777777" w:rsidR="00D44D14" w:rsidRDefault="00D44D14">
    <w:pPr>
      <w:pBdr>
        <w:top w:val="nil"/>
        <w:left w:val="nil"/>
        <w:bottom w:val="nil"/>
        <w:right w:val="nil"/>
        <w:between w:val="nil"/>
      </w:pBdr>
      <w:tabs>
        <w:tab w:val="center" w:pos="4252"/>
        <w:tab w:val="right" w:pos="8504"/>
      </w:tabs>
      <w:rPr>
        <w:color w:val="000000"/>
      </w:rPr>
    </w:pPr>
  </w:p>
</w:hdr>
</file>

<file path=word/intelligence2.xml><?xml version="1.0" encoding="utf-8"?>
<int2:intelligence xmlns:int2="http://schemas.microsoft.com/office/intelligence/2020/intelligence" xmlns:oel="http://schemas.microsoft.com/office/2019/extlst">
  <int2:observations>
    <int2:bookmark int2:bookmarkName="_Int_bRrnDh4k" int2:invalidationBookmarkName="" int2:hashCode="YIRUI8gdImtgrX" int2:id="r2EgfJou">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D62D72"/>
    <w:multiLevelType w:val="multilevel"/>
    <w:tmpl w:val="FFFFFFFF"/>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485389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D14"/>
    <w:rsid w:val="00104EE6"/>
    <w:rsid w:val="007A24DD"/>
    <w:rsid w:val="007B13C8"/>
    <w:rsid w:val="00CE1646"/>
    <w:rsid w:val="00D44D14"/>
    <w:rsid w:val="2C686A16"/>
    <w:rsid w:val="440D348F"/>
    <w:rsid w:val="5529055E"/>
    <w:rsid w:val="5803F5E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E0360"/>
  <w15:docId w15:val="{7689196E-F9EE-4B2B-87B1-22D1C2D70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ub.unido.org/sites/default/files/publications/Tackling%20Climate%20Change%20with%20quality%20and%20standards_online_2024.pdf?_ga=2.152125371.36355910.1719347262-681570604.1719242927" TargetMode="External"/><Relationship Id="rId18" Type="http://schemas.openxmlformats.org/officeDocument/2006/relationships/header" Target="header1.xm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enac.es/" TargetMode="External"/><Relationship Id="rId17" Type="http://schemas.openxmlformats.org/officeDocument/2006/relationships/hyperlink" Target="mailto:evamc@varenga.e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ub.unido.org/sites/default/files/publications/Tackling%20Climate%20Change%20with%20quality%20and%20standards_online_2024.pdf?_ga=2.152125371.36355910.1719347262-681570604.1719242927"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nac.es"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152DE15686E4843A3780C010A78B13A" ma:contentTypeVersion="16" ma:contentTypeDescription="Crear nuevo documento." ma:contentTypeScope="" ma:versionID="23f9a5496e668bb688b97de78c6f6cf9">
  <xsd:schema xmlns:xsd="http://www.w3.org/2001/XMLSchema" xmlns:xs="http://www.w3.org/2001/XMLSchema" xmlns:p="http://schemas.microsoft.com/office/2006/metadata/properties" xmlns:ns2="6e290ce1-b2e7-4ccb-948d-a290ef611fa1" xmlns:ns3="909e21e3-a2e2-47ca-be0e-9c3a9bef9292" targetNamespace="http://schemas.microsoft.com/office/2006/metadata/properties" ma:root="true" ma:fieldsID="17dc88a39ba0aa5236fa82a1cb1aae87" ns2:_="" ns3:_="">
    <xsd:import namespace="6e290ce1-b2e7-4ccb-948d-a290ef611fa1"/>
    <xsd:import namespace="909e21e3-a2e2-47ca-be0e-9c3a9bef929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90ce1-b2e7-4ccb-948d-a290ef611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5c5079e-b5d9-4f40-8558-acc8d9d79a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9e21e3-a2e2-47ca-be0e-9c3a9bef929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6efcf77-0706-4f8e-b256-a6b4bd8b1840}" ma:internalName="TaxCatchAll" ma:showField="CatchAllData" ma:web="909e21e3-a2e2-47ca-be0e-9c3a9bef9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e290ce1-b2e7-4ccb-948d-a290ef611fa1">
      <Terms xmlns="http://schemas.microsoft.com/office/infopath/2007/PartnerControls"/>
    </lcf76f155ced4ddcb4097134ff3c332f>
    <TaxCatchAll xmlns="909e21e3-a2e2-47ca-be0e-9c3a9bef9292"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fueUhc5WwYeIOJLagrnib1cxKw==">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</go:docsCustomData>
</go:gDocsCustomXmlDataStorage>
</file>

<file path=customXml/itemProps1.xml><?xml version="1.0" encoding="utf-8"?>
<ds:datastoreItem xmlns:ds="http://schemas.openxmlformats.org/officeDocument/2006/customXml" ds:itemID="{9D23FB23-B320-4BC9-B09E-B7A8C41820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90ce1-b2e7-4ccb-948d-a290ef611fa1"/>
    <ds:schemaRef ds:uri="909e21e3-a2e2-47ca-be0e-9c3a9bef9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941908-9B4A-463B-B483-AFE4EE0BBC16}">
  <ds:schemaRefs>
    <ds:schemaRef ds:uri="http://schemas.microsoft.com/sharepoint/v3/contenttype/forms"/>
  </ds:schemaRefs>
</ds:datastoreItem>
</file>

<file path=customXml/itemProps3.xml><?xml version="1.0" encoding="utf-8"?>
<ds:datastoreItem xmlns:ds="http://schemas.openxmlformats.org/officeDocument/2006/customXml" ds:itemID="{707B684D-D3F9-47B1-8CB0-962DFF32B75D}">
  <ds:schemaRefs>
    <ds:schemaRef ds:uri="http://schemas.microsoft.com/office/2006/metadata/properties"/>
    <ds:schemaRef ds:uri="http://schemas.microsoft.com/office/infopath/2007/PartnerControls"/>
    <ds:schemaRef ds:uri="6e290ce1-b2e7-4ccb-948d-a290ef611fa1"/>
    <ds:schemaRef ds:uri="909e21e3-a2e2-47ca-be0e-9c3a9bef9292"/>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929</Words>
  <Characters>5111</Characters>
  <Application>Microsoft Office Word</Application>
  <DocSecurity>0</DocSecurity>
  <Lines>42</Lines>
  <Paragraphs>12</Paragraphs>
  <ScaleCrop>false</ScaleCrop>
  <Company/>
  <LinksUpToDate>false</LinksUpToDate>
  <CharactersWithSpaces>6028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Denise Diaz Pozo</cp:lastModifiedBy>
  <cp:revision>5</cp:revision>
  <dcterms:created xsi:type="dcterms:W3CDTF">2024-07-30T06:53:00Z</dcterms:created>
  <dcterms:modified xsi:type="dcterms:W3CDTF">2024-09-11T11:31:00Z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0x0101009152DE15686E4843A3780C010A78B13A</vt:lpwstr>
  </property>
  <property fmtid="{D5CDD505-2E9C-101B-9397-08002B2CF9AE}" pid="3" name="MediaServiceImageTags">
    <vt:lpwstr/>
  </property>
</Properties>
</file>