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7AA40" w14:textId="77777777" w:rsidR="009E6B63" w:rsidRPr="000D316E" w:rsidRDefault="009E6B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jc w:val="center"/>
        <w:rPr>
          <w:rFonts w:ascii="Roboto" w:eastAsia="Roboto" w:hAnsi="Roboto" w:cs="Roboto"/>
          <w:b/>
          <w:sz w:val="50"/>
          <w:szCs w:val="50"/>
        </w:rPr>
      </w:pPr>
    </w:p>
    <w:p w14:paraId="6897AA41" w14:textId="5F5DC9C6" w:rsidR="009E6B63" w:rsidRPr="000D316E" w:rsidRDefault="000A1D14">
      <w:pPr>
        <w:spacing w:after="160" w:line="259" w:lineRule="auto"/>
        <w:jc w:val="center"/>
        <w:rPr>
          <w:rFonts w:ascii="Roboto" w:eastAsia="Roboto" w:hAnsi="Roboto" w:cs="Roboto"/>
          <w:sz w:val="38"/>
          <w:szCs w:val="38"/>
        </w:rPr>
      </w:pPr>
      <w:proofErr w:type="spellStart"/>
      <w:r w:rsidRPr="000D316E">
        <w:rPr>
          <w:rFonts w:ascii="Roboto" w:eastAsia="Roboto" w:hAnsi="Roboto" w:cs="Roboto"/>
          <w:b/>
          <w:bCs/>
          <w:sz w:val="38"/>
          <w:szCs w:val="38"/>
        </w:rPr>
        <w:t>Verus</w:t>
      </w:r>
      <w:proofErr w:type="spellEnd"/>
      <w:r w:rsidRPr="000D316E">
        <w:rPr>
          <w:rFonts w:ascii="Roboto" w:eastAsia="Roboto" w:hAnsi="Roboto" w:cs="Roboto"/>
          <w:b/>
          <w:bCs/>
          <w:sz w:val="38"/>
          <w:szCs w:val="38"/>
        </w:rPr>
        <w:t xml:space="preserve"> Certificación se convierte en la primera entidad acreditada por ENAC para certificar el proceso de soldeo en el sector ferroviario</w:t>
      </w:r>
    </w:p>
    <w:p w14:paraId="6897AA43" w14:textId="516C78E1" w:rsidR="009E6B63" w:rsidRPr="000D316E" w:rsidRDefault="009E6B63" w:rsidP="42F19411">
      <w:pPr>
        <w:jc w:val="both"/>
        <w:rPr>
          <w:rFonts w:ascii="Roboto" w:eastAsia="Roboto" w:hAnsi="Roboto" w:cs="Roboto"/>
          <w:b/>
          <w:bCs/>
          <w:sz w:val="22"/>
          <w:szCs w:val="22"/>
        </w:rPr>
      </w:pPr>
    </w:p>
    <w:p w14:paraId="6897AA44" w14:textId="358EE5F1" w:rsidR="009E6B63" w:rsidRPr="000D316E" w:rsidRDefault="008B1D41" w:rsidP="42F19411">
      <w:pPr>
        <w:numPr>
          <w:ilvl w:val="0"/>
          <w:numId w:val="1"/>
        </w:numPr>
        <w:spacing w:after="160" w:line="259" w:lineRule="auto"/>
        <w:jc w:val="both"/>
        <w:rPr>
          <w:rFonts w:ascii="Roboto" w:eastAsia="Roboto" w:hAnsi="Roboto" w:cs="Roboto"/>
          <w:b/>
          <w:bCs/>
          <w:sz w:val="22"/>
          <w:szCs w:val="22"/>
        </w:rPr>
      </w:pPr>
      <w:r w:rsidRPr="000D316E">
        <w:rPr>
          <w:rFonts w:ascii="Roboto" w:eastAsia="Roboto" w:hAnsi="Roboto" w:cs="Roboto"/>
          <w:b/>
          <w:bCs/>
          <w:sz w:val="22"/>
          <w:szCs w:val="22"/>
        </w:rPr>
        <w:t>L</w:t>
      </w:r>
      <w:r w:rsidR="000A1D14" w:rsidRPr="000D316E">
        <w:rPr>
          <w:rFonts w:ascii="Roboto" w:eastAsia="Roboto" w:hAnsi="Roboto" w:cs="Roboto"/>
          <w:b/>
          <w:bCs/>
          <w:sz w:val="22"/>
          <w:szCs w:val="22"/>
        </w:rPr>
        <w:t xml:space="preserve">os certificadores del proceso de soldeo deberán estar acreditados por ENAC para demostrar su competencia para realizar esta actividad   </w:t>
      </w:r>
    </w:p>
    <w:p w14:paraId="531A5AE1" w14:textId="77777777" w:rsidR="000A1D14" w:rsidRPr="000D316E" w:rsidRDefault="000A1D14" w:rsidP="42F19411">
      <w:pPr>
        <w:pStyle w:val="Prrafodelista"/>
        <w:rPr>
          <w:rFonts w:ascii="Roboto" w:eastAsia="Roboto" w:hAnsi="Roboto" w:cs="Roboto"/>
          <w:b/>
          <w:bCs/>
          <w:sz w:val="22"/>
          <w:szCs w:val="22"/>
        </w:rPr>
      </w:pPr>
    </w:p>
    <w:p w14:paraId="531E7925" w14:textId="7A82B4EB" w:rsidR="000A1D14" w:rsidRPr="000D316E" w:rsidRDefault="000A1D14" w:rsidP="42F19411">
      <w:pPr>
        <w:numPr>
          <w:ilvl w:val="0"/>
          <w:numId w:val="1"/>
        </w:numPr>
        <w:spacing w:after="160" w:line="259" w:lineRule="auto"/>
        <w:jc w:val="both"/>
        <w:rPr>
          <w:rFonts w:ascii="Roboto" w:eastAsia="Roboto" w:hAnsi="Roboto" w:cs="Roboto"/>
          <w:b/>
          <w:bCs/>
          <w:sz w:val="22"/>
          <w:szCs w:val="22"/>
        </w:rPr>
      </w:pPr>
      <w:r w:rsidRPr="000D316E">
        <w:rPr>
          <w:rFonts w:ascii="Roboto" w:eastAsia="Roboto" w:hAnsi="Roboto" w:cs="Roboto"/>
          <w:b/>
          <w:bCs/>
          <w:sz w:val="22"/>
          <w:szCs w:val="22"/>
        </w:rPr>
        <w:t>Los organismos de certificación hasta ahora reconocidos por la A</w:t>
      </w:r>
      <w:r w:rsidR="008B1D41" w:rsidRPr="000D316E">
        <w:rPr>
          <w:rFonts w:ascii="Roboto" w:eastAsia="Roboto" w:hAnsi="Roboto" w:cs="Roboto"/>
          <w:b/>
          <w:bCs/>
          <w:sz w:val="22"/>
          <w:szCs w:val="22"/>
        </w:rPr>
        <w:t>gencia Estatal de Seguridad Ferroviaria (A</w:t>
      </w:r>
      <w:r w:rsidRPr="000D316E">
        <w:rPr>
          <w:rFonts w:ascii="Roboto" w:eastAsia="Roboto" w:hAnsi="Roboto" w:cs="Roboto"/>
          <w:b/>
          <w:bCs/>
          <w:sz w:val="22"/>
          <w:szCs w:val="22"/>
        </w:rPr>
        <w:t>ESF</w:t>
      </w:r>
      <w:r w:rsidR="008B1D41" w:rsidRPr="000D316E">
        <w:rPr>
          <w:rFonts w:ascii="Roboto" w:eastAsia="Roboto" w:hAnsi="Roboto" w:cs="Roboto"/>
          <w:b/>
          <w:bCs/>
          <w:sz w:val="22"/>
          <w:szCs w:val="22"/>
        </w:rPr>
        <w:t>)</w:t>
      </w:r>
      <w:r w:rsidRPr="000D316E">
        <w:rPr>
          <w:rFonts w:ascii="Roboto" w:eastAsia="Roboto" w:hAnsi="Roboto" w:cs="Roboto"/>
          <w:b/>
          <w:bCs/>
          <w:sz w:val="22"/>
          <w:szCs w:val="22"/>
        </w:rPr>
        <w:t xml:space="preserve"> para certificar este proceso deberán adaptarse al requisito de la acreditación antes del 30 de junio </w:t>
      </w:r>
    </w:p>
    <w:p w14:paraId="0E4F8022" w14:textId="77777777" w:rsidR="000A1D14" w:rsidRPr="000D316E" w:rsidRDefault="000A1D14" w:rsidP="42F19411">
      <w:pPr>
        <w:pStyle w:val="Prrafodelista"/>
        <w:rPr>
          <w:rFonts w:ascii="Roboto" w:eastAsia="Roboto" w:hAnsi="Roboto" w:cs="Roboto"/>
          <w:b/>
          <w:bCs/>
          <w:sz w:val="22"/>
          <w:szCs w:val="22"/>
        </w:rPr>
      </w:pPr>
    </w:p>
    <w:p w14:paraId="6897AA45" w14:textId="4DE7EBDB" w:rsidR="009E6B63" w:rsidRPr="000D316E" w:rsidRDefault="000A1D14" w:rsidP="42F19411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 xml:space="preserve">Madrid, </w:t>
      </w:r>
      <w:r w:rsidR="548A0ED8" w:rsidRPr="000D316E">
        <w:rPr>
          <w:rFonts w:ascii="Roboto" w:eastAsia="Roboto" w:hAnsi="Roboto" w:cs="Roboto"/>
          <w:sz w:val="22"/>
          <w:szCs w:val="22"/>
        </w:rPr>
        <w:t>22</w:t>
      </w:r>
      <w:r w:rsidRPr="000D316E">
        <w:rPr>
          <w:rFonts w:ascii="Roboto" w:eastAsia="Roboto" w:hAnsi="Roboto" w:cs="Roboto"/>
          <w:sz w:val="22"/>
          <w:szCs w:val="22"/>
        </w:rPr>
        <w:t xml:space="preserve"> de febrero de 2024.- </w:t>
      </w:r>
      <w:sdt>
        <w:sdtPr>
          <w:rPr>
            <w:rFonts w:ascii="Roboto" w:hAnsi="Roboto"/>
          </w:rPr>
          <w:tag w:val="goog_rdk_0"/>
          <w:id w:val="-532188897"/>
          <w:placeholder>
            <w:docPart w:val="DefaultPlaceholder_1081868574"/>
          </w:placeholder>
        </w:sdtPr>
        <w:sdtEndPr/>
        <w:sdtContent>
          <w:r w:rsidRPr="000D316E">
            <w:rPr>
              <w:rFonts w:ascii="Roboto" w:eastAsia="Roboto" w:hAnsi="Roboto" w:cs="Roboto"/>
              <w:sz w:val="22"/>
              <w:szCs w:val="22"/>
            </w:rPr>
            <w:t>La Entidad Nacional de Acreditación (</w:t>
          </w:r>
        </w:sdtContent>
      </w:sdt>
      <w:r w:rsidRPr="000D316E">
        <w:rPr>
          <w:rFonts w:ascii="Roboto" w:eastAsia="Roboto" w:hAnsi="Roboto" w:cs="Roboto"/>
          <w:sz w:val="22"/>
          <w:szCs w:val="22"/>
        </w:rPr>
        <w:t>ENAC</w:t>
      </w:r>
      <w:sdt>
        <w:sdtPr>
          <w:rPr>
            <w:rFonts w:ascii="Roboto" w:hAnsi="Roboto"/>
          </w:rPr>
          <w:tag w:val="goog_rdk_1"/>
          <w:id w:val="284166142"/>
          <w:placeholder>
            <w:docPart w:val="DefaultPlaceholder_1081868574"/>
          </w:placeholder>
        </w:sdtPr>
        <w:sdtEndPr/>
        <w:sdtContent>
          <w:r w:rsidRPr="000D316E">
            <w:rPr>
              <w:rFonts w:ascii="Roboto" w:eastAsia="Roboto" w:hAnsi="Roboto" w:cs="Roboto"/>
              <w:sz w:val="22"/>
              <w:szCs w:val="22"/>
            </w:rPr>
            <w:t>)</w:t>
          </w:r>
        </w:sdtContent>
      </w:sdt>
      <w:r w:rsidRPr="000D316E">
        <w:rPr>
          <w:rFonts w:ascii="Roboto" w:eastAsia="Roboto" w:hAnsi="Roboto" w:cs="Roboto"/>
          <w:sz w:val="22"/>
          <w:szCs w:val="22"/>
        </w:rPr>
        <w:t xml:space="preserve"> ha concedido a </w:t>
      </w:r>
      <w:proofErr w:type="spellStart"/>
      <w:r w:rsidRPr="000D316E">
        <w:rPr>
          <w:rFonts w:ascii="Roboto" w:eastAsia="Roboto" w:hAnsi="Roboto" w:cs="Roboto"/>
          <w:sz w:val="22"/>
          <w:szCs w:val="22"/>
        </w:rPr>
        <w:t>Verus</w:t>
      </w:r>
      <w:proofErr w:type="spellEnd"/>
      <w:r w:rsidRPr="000D316E">
        <w:rPr>
          <w:rFonts w:ascii="Roboto" w:eastAsia="Roboto" w:hAnsi="Roboto" w:cs="Roboto"/>
          <w:sz w:val="22"/>
          <w:szCs w:val="22"/>
        </w:rPr>
        <w:t xml:space="preserve"> Certificación la primera acreditación </w:t>
      </w:r>
      <w:sdt>
        <w:sdtPr>
          <w:rPr>
            <w:rFonts w:ascii="Roboto" w:hAnsi="Roboto"/>
          </w:rPr>
          <w:tag w:val="goog_rdk_2"/>
          <w:id w:val="-247649055"/>
          <w:placeholder>
            <w:docPart w:val="DefaultPlaceholder_1081868574"/>
          </w:placeholder>
        </w:sdtPr>
        <w:sdtEndPr/>
        <w:sdtContent>
          <w:r w:rsidRPr="000D316E">
            <w:rPr>
              <w:rFonts w:ascii="Roboto" w:eastAsia="Roboto" w:hAnsi="Roboto" w:cs="Roboto"/>
              <w:sz w:val="22"/>
              <w:szCs w:val="22"/>
            </w:rPr>
            <w:t xml:space="preserve">en España </w:t>
          </w:r>
        </w:sdtContent>
      </w:sdt>
      <w:r w:rsidRPr="000D316E">
        <w:rPr>
          <w:rFonts w:ascii="Roboto" w:eastAsia="Roboto" w:hAnsi="Roboto" w:cs="Roboto"/>
          <w:sz w:val="22"/>
          <w:szCs w:val="22"/>
        </w:rPr>
        <w:t xml:space="preserve">para certificar el proceso de soldeo de los fabricantes de vehículos y componentes ferroviarios </w:t>
      </w:r>
      <w:r w:rsidRPr="000D316E">
        <w:rPr>
          <w:rFonts w:ascii="Roboto" w:eastAsia="Roboto" w:hAnsi="Roboto" w:cs="Roboto"/>
          <w:b/>
          <w:bCs/>
          <w:sz w:val="22"/>
          <w:szCs w:val="22"/>
        </w:rPr>
        <w:t>conforme a la última versión de la norma UNE-EN 15085-2, en la que se incluye la figura del organismo de certificación acreditado</w:t>
      </w:r>
      <w:r w:rsidRPr="000D316E">
        <w:rPr>
          <w:rFonts w:ascii="Roboto" w:eastAsia="Roboto" w:hAnsi="Roboto" w:cs="Roboto"/>
          <w:sz w:val="22"/>
          <w:szCs w:val="22"/>
        </w:rPr>
        <w:t xml:space="preserve">. </w:t>
      </w:r>
    </w:p>
    <w:p w14:paraId="6897AA47" w14:textId="77777777" w:rsidR="009E6B63" w:rsidRPr="000D316E" w:rsidRDefault="000A1D14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>La norma, que tiene como objetivo garantizar la calidad, seguridad y fiabilidad de los productos utilizados en el sector ferroviario,</w:t>
      </w:r>
      <w:r w:rsidRPr="000D316E">
        <w:rPr>
          <w:rFonts w:ascii="Roboto" w:eastAsia="Roboto" w:hAnsi="Roboto" w:cs="Roboto"/>
          <w:sz w:val="22"/>
          <w:szCs w:val="22"/>
          <w:highlight w:val="white"/>
        </w:rPr>
        <w:t xml:space="preserve"> </w:t>
      </w:r>
      <w:r w:rsidRPr="000D316E">
        <w:rPr>
          <w:rFonts w:ascii="Roboto" w:eastAsia="Roboto" w:hAnsi="Roboto" w:cs="Roboto"/>
          <w:sz w:val="22"/>
          <w:szCs w:val="22"/>
        </w:rPr>
        <w:t xml:space="preserve">certifica la competencia de la empresa fabricante y el control adecuado de proceso de soldeo, comprobando que el fabricante dispone de los recursos y los conocimientos para aplicar los procedimientos de soldeo de acuerdo con una determinada clasificación en base a la importancia de los componentes en la seguridad ferroviaria. </w:t>
      </w:r>
    </w:p>
    <w:p w14:paraId="6897AA48" w14:textId="77777777" w:rsidR="009E6B63" w:rsidRPr="000D316E" w:rsidRDefault="000A1D14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 xml:space="preserve">La </w:t>
      </w:r>
      <w:r w:rsidRPr="000D316E">
        <w:rPr>
          <w:rFonts w:ascii="Roboto" w:eastAsia="Roboto" w:hAnsi="Roboto" w:cs="Roboto"/>
          <w:b/>
          <w:sz w:val="22"/>
          <w:szCs w:val="22"/>
        </w:rPr>
        <w:t>Agencia Estatal de Seguridad Ferroviaria</w:t>
      </w:r>
      <w:r w:rsidRPr="000D316E">
        <w:rPr>
          <w:rFonts w:ascii="Roboto" w:eastAsia="Roboto" w:hAnsi="Roboto" w:cs="Roboto"/>
          <w:sz w:val="22"/>
          <w:szCs w:val="22"/>
        </w:rPr>
        <w:t xml:space="preserve"> (AESF), que hasta el pasado mes de julio venía realizando por sí misma la evaluación y reconocimiento de las entidades de certificación en este campo, ha decidido dejar esta actividad para que </w:t>
      </w:r>
      <w:r w:rsidRPr="000D316E">
        <w:rPr>
          <w:rFonts w:ascii="Roboto" w:eastAsia="Roboto" w:hAnsi="Roboto" w:cs="Roboto"/>
          <w:b/>
          <w:sz w:val="22"/>
          <w:szCs w:val="22"/>
        </w:rPr>
        <w:t>la competencia sea demostrada mediante la acreditación de los certificadores</w:t>
      </w:r>
      <w:r w:rsidRPr="000D316E">
        <w:rPr>
          <w:rFonts w:ascii="Roboto" w:eastAsia="Roboto" w:hAnsi="Roboto" w:cs="Roboto"/>
          <w:sz w:val="22"/>
          <w:szCs w:val="22"/>
        </w:rPr>
        <w:t xml:space="preserve"> del proceso de soldeo para la realización de esta actividad. Por ello, se ha fijado un </w:t>
      </w:r>
      <w:r w:rsidRPr="000D316E">
        <w:rPr>
          <w:rFonts w:ascii="Roboto" w:eastAsia="Roboto" w:hAnsi="Roboto" w:cs="Roboto"/>
          <w:b/>
          <w:sz w:val="22"/>
          <w:szCs w:val="22"/>
        </w:rPr>
        <w:t>periodo transitorio hasta el próximo 30 de junio</w:t>
      </w:r>
      <w:r w:rsidRPr="000D316E">
        <w:rPr>
          <w:rFonts w:ascii="Roboto" w:eastAsia="Roboto" w:hAnsi="Roboto" w:cs="Roboto"/>
          <w:sz w:val="22"/>
          <w:szCs w:val="22"/>
        </w:rPr>
        <w:t xml:space="preserve"> para que los organismos de certificación hasta ahora reconocidos por la AESF se adapten al requisito de la acreditación. </w:t>
      </w:r>
    </w:p>
    <w:p w14:paraId="1655AA17" w14:textId="77777777" w:rsidR="000D316E" w:rsidRDefault="000D316E" w:rsidP="42F19411">
      <w:pPr>
        <w:spacing w:after="160" w:line="259" w:lineRule="auto"/>
        <w:jc w:val="both"/>
        <w:rPr>
          <w:rFonts w:ascii="Roboto" w:eastAsia="Roboto" w:hAnsi="Roboto" w:cs="Roboto"/>
          <w:b/>
          <w:bCs/>
          <w:color w:val="E83544"/>
          <w:sz w:val="22"/>
          <w:szCs w:val="22"/>
        </w:rPr>
      </w:pPr>
    </w:p>
    <w:p w14:paraId="6897AA4B" w14:textId="4894FA5D" w:rsidR="009E6B63" w:rsidRPr="000D316E" w:rsidRDefault="000A1D14" w:rsidP="42F19411">
      <w:pPr>
        <w:spacing w:after="160" w:line="259" w:lineRule="auto"/>
        <w:jc w:val="both"/>
        <w:rPr>
          <w:rFonts w:ascii="Roboto" w:eastAsia="Roboto" w:hAnsi="Roboto" w:cs="Roboto"/>
          <w:color w:val="E83544"/>
          <w:sz w:val="22"/>
          <w:szCs w:val="22"/>
        </w:rPr>
      </w:pPr>
      <w:r w:rsidRPr="000D316E">
        <w:rPr>
          <w:rFonts w:ascii="Roboto" w:eastAsia="Roboto" w:hAnsi="Roboto" w:cs="Roboto"/>
          <w:b/>
          <w:bCs/>
          <w:color w:val="E83544"/>
          <w:sz w:val="22"/>
          <w:szCs w:val="22"/>
        </w:rPr>
        <w:t>Sobre ENAC</w:t>
      </w:r>
      <w:r w:rsidRPr="000D316E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6897AA4C" w14:textId="77777777" w:rsidR="009E6B63" w:rsidRPr="000D316E" w:rsidRDefault="000A1D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color w:val="E83544"/>
          <w:sz w:val="22"/>
          <w:szCs w:val="22"/>
        </w:rPr>
      </w:pPr>
      <w:r w:rsidRPr="000D316E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6897AA4D" w14:textId="4DB5362A" w:rsidR="009E6B63" w:rsidRPr="000D316E" w:rsidRDefault="000A1D14" w:rsidP="42F194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 w:themeFill="background1"/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 xml:space="preserve">La Entidad Nacional de Acreditación – ENAC – es la entidad designada por el Gobierno para operar en España como el único Organismo Nacional de Acreditación, en aplicación del Reglamento (CE) nº765/2008 del Parlamento Europeo que regula el funcionamiento de la acreditación en Europa. </w:t>
      </w:r>
    </w:p>
    <w:p w14:paraId="6897AA4E" w14:textId="77777777" w:rsidR="009E6B63" w:rsidRPr="000D316E" w:rsidRDefault="000A1D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 xml:space="preserve"> </w:t>
      </w:r>
    </w:p>
    <w:p w14:paraId="7266B265" w14:textId="77777777" w:rsidR="000D316E" w:rsidRDefault="000D31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111DDA5C" w14:textId="77777777" w:rsidR="000D316E" w:rsidRDefault="000D31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</w:p>
    <w:p w14:paraId="6897AA4F" w14:textId="68D6BD02" w:rsidR="009E6B63" w:rsidRPr="000D316E" w:rsidRDefault="000A1D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 xml:space="preserve"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  energía, medio ambiente, sanidad, alimentación, investigación, desarrollo e innovación, transportes, telecomunicaciones, turismo, servicios, construcción, etc. 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  </w:t>
      </w:r>
    </w:p>
    <w:p w14:paraId="6897AA50" w14:textId="77777777" w:rsidR="009E6B63" w:rsidRPr="000D316E" w:rsidRDefault="000A1D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 xml:space="preserve">  </w:t>
      </w:r>
    </w:p>
    <w:p w14:paraId="6897AA51" w14:textId="77777777" w:rsidR="009E6B63" w:rsidRPr="000D316E" w:rsidRDefault="000A1D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 xml:space="preserve"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 </w:t>
      </w:r>
    </w:p>
    <w:p w14:paraId="6897AA52" w14:textId="77777777" w:rsidR="009E6B63" w:rsidRPr="000D316E" w:rsidRDefault="000A1D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 xml:space="preserve"> </w:t>
      </w:r>
    </w:p>
    <w:p w14:paraId="6897AA53" w14:textId="77777777" w:rsidR="009E6B63" w:rsidRPr="000D316E" w:rsidRDefault="009E6B63">
      <w:pPr>
        <w:jc w:val="both"/>
        <w:rPr>
          <w:rFonts w:ascii="Roboto" w:eastAsia="Roboto" w:hAnsi="Roboto" w:cs="Roboto"/>
          <w:sz w:val="22"/>
          <w:szCs w:val="22"/>
        </w:rPr>
      </w:pPr>
    </w:p>
    <w:p w14:paraId="6897AA54" w14:textId="77777777" w:rsidR="009E6B63" w:rsidRPr="000D316E" w:rsidRDefault="000D316E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1">
        <w:r w:rsidR="000A1D14" w:rsidRPr="000D316E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0A1D14" w:rsidRPr="000D316E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6897AA55" w14:textId="77777777" w:rsidR="009E6B63" w:rsidRPr="000D316E" w:rsidRDefault="009E6B63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897AA56" w14:textId="77777777" w:rsidR="009E6B63" w:rsidRPr="000D316E" w:rsidRDefault="000A1D14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 w:rsidRPr="000D316E"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114300" distB="114300" distL="114300" distR="114300" wp14:anchorId="6897AA60" wp14:editId="6897AA61">
            <wp:extent cx="318809" cy="318809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809" cy="318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D316E"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 w:rsidRPr="000D316E"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114300" distB="114300" distL="114300" distR="114300" wp14:anchorId="6897AA62" wp14:editId="6897AA63">
            <wp:extent cx="315647" cy="315647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647" cy="315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7AA57" w14:textId="77777777" w:rsidR="009E6B63" w:rsidRPr="000D316E" w:rsidRDefault="009E6B63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897AA58" w14:textId="77777777" w:rsidR="009E6B63" w:rsidRPr="000D316E" w:rsidRDefault="009E6B63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6897AA59" w14:textId="77777777" w:rsidR="009E6B63" w:rsidRPr="000D316E" w:rsidRDefault="000A1D14">
      <w:pPr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6897AA5A" w14:textId="77777777" w:rsidR="009E6B63" w:rsidRPr="000D316E" w:rsidRDefault="000A1D14">
      <w:pPr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>Eva Martín</w:t>
      </w:r>
    </w:p>
    <w:p w14:paraId="6897AA5B" w14:textId="77777777" w:rsidR="009E6B63" w:rsidRPr="000D316E" w:rsidRDefault="000A1D14">
      <w:pPr>
        <w:jc w:val="both"/>
        <w:rPr>
          <w:rFonts w:ascii="Roboto" w:eastAsia="Roboto" w:hAnsi="Roboto" w:cs="Roboto"/>
          <w:sz w:val="22"/>
          <w:szCs w:val="22"/>
        </w:rPr>
      </w:pPr>
      <w:r w:rsidRPr="000D316E">
        <w:rPr>
          <w:rFonts w:ascii="Roboto" w:eastAsia="Roboto" w:hAnsi="Roboto" w:cs="Roboto"/>
          <w:sz w:val="22"/>
          <w:szCs w:val="22"/>
        </w:rPr>
        <w:t xml:space="preserve">Tfno. 628 17 49 01 / </w:t>
      </w:r>
      <w:r w:rsidRPr="000D316E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4">
        <w:r w:rsidRPr="000D316E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6897AA5C" w14:textId="77777777" w:rsidR="009E6B63" w:rsidRPr="000D316E" w:rsidRDefault="009E6B63">
      <w:pPr>
        <w:spacing w:after="160"/>
        <w:jc w:val="both"/>
        <w:rPr>
          <w:rFonts w:ascii="Roboto" w:eastAsia="Roboto" w:hAnsi="Roboto" w:cs="Roboto"/>
          <w:color w:val="333333"/>
          <w:sz w:val="27"/>
          <w:szCs w:val="27"/>
          <w:highlight w:val="white"/>
        </w:rPr>
      </w:pPr>
    </w:p>
    <w:p w14:paraId="6897AA5D" w14:textId="77777777" w:rsidR="009E6B63" w:rsidRPr="000D316E" w:rsidRDefault="009E6B63">
      <w:pPr>
        <w:rPr>
          <w:rFonts w:ascii="Roboto" w:hAnsi="Roboto"/>
        </w:rPr>
      </w:pPr>
    </w:p>
    <w:p w14:paraId="6897AA5E" w14:textId="77777777" w:rsidR="009E6B63" w:rsidRPr="000D316E" w:rsidRDefault="009E6B63">
      <w:pPr>
        <w:rPr>
          <w:rFonts w:ascii="Roboto" w:hAnsi="Roboto"/>
        </w:rPr>
      </w:pPr>
    </w:p>
    <w:p w14:paraId="6897AA5F" w14:textId="77777777" w:rsidR="009E6B63" w:rsidRPr="000D316E" w:rsidRDefault="009E6B63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Calibri" w:hAnsi="Roboto" w:cs="Calibri"/>
          <w:highlight w:val="white"/>
        </w:rPr>
      </w:pPr>
    </w:p>
    <w:sectPr w:rsidR="009E6B63" w:rsidRPr="000D31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D8EA1" w14:textId="77777777" w:rsidR="003B4684" w:rsidRDefault="003B4684">
      <w:r>
        <w:separator/>
      </w:r>
    </w:p>
  </w:endnote>
  <w:endnote w:type="continuationSeparator" w:id="0">
    <w:p w14:paraId="2BC898ED" w14:textId="77777777" w:rsidR="003B4684" w:rsidRDefault="003B4684">
      <w:r>
        <w:continuationSeparator/>
      </w:r>
    </w:p>
  </w:endnote>
  <w:endnote w:type="continuationNotice" w:id="1">
    <w:p w14:paraId="2A8E573B" w14:textId="77777777" w:rsidR="003B4684" w:rsidRDefault="003B4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AA68" w14:textId="77777777" w:rsidR="009E6B63" w:rsidRDefault="009E6B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AA69" w14:textId="2C6DBFF2" w:rsidR="009E6B63" w:rsidRDefault="000A1D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897AA6A" w14:textId="77777777" w:rsidR="009E6B63" w:rsidRDefault="009E6B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AA6C" w14:textId="77777777" w:rsidR="009E6B63" w:rsidRDefault="009E6B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8D751" w14:textId="77777777" w:rsidR="003B4684" w:rsidRDefault="003B4684">
      <w:r>
        <w:separator/>
      </w:r>
    </w:p>
  </w:footnote>
  <w:footnote w:type="continuationSeparator" w:id="0">
    <w:p w14:paraId="3C9F1157" w14:textId="77777777" w:rsidR="003B4684" w:rsidRDefault="003B4684">
      <w:r>
        <w:continuationSeparator/>
      </w:r>
    </w:p>
  </w:footnote>
  <w:footnote w:type="continuationNotice" w:id="1">
    <w:p w14:paraId="6AFFA8E8" w14:textId="77777777" w:rsidR="003B4684" w:rsidRDefault="003B4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AA64" w14:textId="77777777" w:rsidR="009E6B63" w:rsidRDefault="009E6B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AA65" w14:textId="77777777" w:rsidR="009E6B63" w:rsidRDefault="000A1D14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897AA6D" wp14:editId="6897AA6E">
          <wp:simplePos x="0" y="0"/>
          <wp:positionH relativeFrom="column">
            <wp:posOffset>4114800</wp:posOffset>
          </wp:positionH>
          <wp:positionV relativeFrom="paragraph">
            <wp:posOffset>-304783</wp:posOffset>
          </wp:positionV>
          <wp:extent cx="1547842" cy="997267"/>
          <wp:effectExtent l="0" t="0" r="0" b="0"/>
          <wp:wrapSquare wrapText="bothSides" distT="114300" distB="11430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97AA66" w14:textId="77777777" w:rsidR="009E6B63" w:rsidRDefault="000A1D14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6897AA67" w14:textId="77777777" w:rsidR="009E6B63" w:rsidRDefault="009E6B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AA6B" w14:textId="77777777" w:rsidR="009E6B63" w:rsidRDefault="009E6B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A34B8"/>
    <w:multiLevelType w:val="multilevel"/>
    <w:tmpl w:val="7CE60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3753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63"/>
    <w:rsid w:val="000A1D14"/>
    <w:rsid w:val="000B579E"/>
    <w:rsid w:val="000D316E"/>
    <w:rsid w:val="003B4684"/>
    <w:rsid w:val="0050627F"/>
    <w:rsid w:val="00784FB0"/>
    <w:rsid w:val="007B767E"/>
    <w:rsid w:val="0084670D"/>
    <w:rsid w:val="008B1D41"/>
    <w:rsid w:val="009E6B63"/>
    <w:rsid w:val="00CD7C1A"/>
    <w:rsid w:val="00F2595F"/>
    <w:rsid w:val="0F44C7F8"/>
    <w:rsid w:val="42F19411"/>
    <w:rsid w:val="4DC6802C"/>
    <w:rsid w:val="548A0ED8"/>
    <w:rsid w:val="7364F900"/>
    <w:rsid w:val="74A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AA3F"/>
  <w15:docId w15:val="{F9BE0D6B-B222-493A-BF6D-1519E3B9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0A1D14"/>
  </w:style>
  <w:style w:type="paragraph" w:styleId="Prrafodelista">
    <w:name w:val="List Paragraph"/>
    <w:basedOn w:val="Normal"/>
    <w:uiPriority w:val="34"/>
    <w:qFormat/>
    <w:rsid w:val="000A1D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062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627F"/>
  </w:style>
  <w:style w:type="paragraph" w:styleId="Piedepgina">
    <w:name w:val="footer"/>
    <w:basedOn w:val="Normal"/>
    <w:link w:val="PiedepginaCar"/>
    <w:uiPriority w:val="99"/>
    <w:semiHidden/>
    <w:unhideWhenUsed/>
    <w:rsid w:val="005062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ac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vamc@varenga.es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AE95-0F28-4279-A44C-D1BA50FEAED1}"/>
      </w:docPartPr>
      <w:docPartBody>
        <w:p w:rsidR="00850F08" w:rsidRDefault="00850F0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F08"/>
    <w:rsid w:val="0085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6" ma:contentTypeDescription="Crear nuevo documento." ma:contentTypeScope="" ma:versionID="23f9a5496e668bb688b97de78c6f6cf9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17dc88a39ba0aa5236fa82a1cb1aae8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8Tv3eqwSELKMbwEKsRQJ9OK1JQ==">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Props1.xml><?xml version="1.0" encoding="utf-8"?>
<ds:datastoreItem xmlns:ds="http://schemas.openxmlformats.org/officeDocument/2006/customXml" ds:itemID="{F94BC302-8145-44BC-A074-3D9445DAB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0A284-3A4D-4B4F-8650-36CB30F40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0863608-FCD3-4EB2-80AE-8C7D533EF0BD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Diaz Pozo</dc:creator>
  <cp:keywords/>
  <cp:lastModifiedBy>Denise Diaz Pozo</cp:lastModifiedBy>
  <cp:revision>6</cp:revision>
  <dcterms:created xsi:type="dcterms:W3CDTF">2024-02-22T16:08:00Z</dcterms:created>
  <dcterms:modified xsi:type="dcterms:W3CDTF">2024-04-01T15:48:00Z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0x0101009152DE15686E4843A3780C010A78B13A</vt:lpwstr>
  </property>
</Properties>
</file>