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43BA1" w14:textId="77777777" w:rsidR="004C7DFF" w:rsidRDefault="00AD1B5D">
      <w:pPr>
        <w:jc w:val="center"/>
        <w:rPr>
          <w:rFonts w:ascii="Roboto" w:eastAsia="Roboto" w:hAnsi="Roboto" w:cs="Roboto"/>
          <w:b/>
          <w:sz w:val="26"/>
          <w:szCs w:val="26"/>
        </w:rPr>
      </w:pPr>
      <w:r>
        <w:rPr>
          <w:rFonts w:ascii="Roboto" w:eastAsia="Roboto" w:hAnsi="Roboto" w:cs="Roboto"/>
          <w:b/>
          <w:sz w:val="26"/>
          <w:szCs w:val="26"/>
        </w:rPr>
        <w:t xml:space="preserve">La Fundación de Hemoterapia y </w:t>
      </w:r>
      <w:proofErr w:type="spellStart"/>
      <w:r>
        <w:rPr>
          <w:rFonts w:ascii="Roboto" w:eastAsia="Roboto" w:hAnsi="Roboto" w:cs="Roboto"/>
          <w:b/>
          <w:sz w:val="26"/>
          <w:szCs w:val="26"/>
        </w:rPr>
        <w:t>Hemodonación</w:t>
      </w:r>
      <w:proofErr w:type="spellEnd"/>
      <w:r>
        <w:rPr>
          <w:rFonts w:ascii="Roboto" w:eastAsia="Roboto" w:hAnsi="Roboto" w:cs="Roboto"/>
          <w:b/>
          <w:sz w:val="26"/>
          <w:szCs w:val="26"/>
        </w:rPr>
        <w:t xml:space="preserve"> de Castilla y León, primer acreditado </w:t>
      </w:r>
      <w:sdt>
        <w:sdtPr>
          <w:tag w:val="goog_rdk_0"/>
          <w:id w:val="-478689266"/>
          <w:placeholder>
            <w:docPart w:val="79B40717131E457AA3414CEB9DA30E1A"/>
          </w:placeholder>
        </w:sdtPr>
        <w:sdtEndPr/>
        <w:sdtContent>
          <w:r>
            <w:rPr>
              <w:rFonts w:ascii="Roboto" w:eastAsia="Roboto" w:hAnsi="Roboto" w:cs="Roboto"/>
              <w:b/>
              <w:sz w:val="26"/>
              <w:szCs w:val="26"/>
            </w:rPr>
            <w:t>por ENAC</w:t>
          </w:r>
        </w:sdtContent>
      </w:sdt>
      <w:r>
        <w:rPr>
          <w:rFonts w:ascii="Roboto" w:eastAsia="Roboto" w:hAnsi="Roboto" w:cs="Roboto"/>
          <w:b/>
          <w:sz w:val="26"/>
          <w:szCs w:val="26"/>
        </w:rPr>
        <w:t xml:space="preserve"> como proveedor de ensayos de aptitud para laboratorios de inmunología diagnóstica</w:t>
      </w:r>
    </w:p>
    <w:p w14:paraId="7BA43BA2" w14:textId="77777777" w:rsidR="004C7DFF" w:rsidRDefault="004C7DFF">
      <w:pPr>
        <w:jc w:val="center"/>
        <w:rPr>
          <w:rFonts w:ascii="Roboto" w:eastAsia="Roboto" w:hAnsi="Roboto" w:cs="Roboto"/>
          <w:b/>
          <w:sz w:val="10"/>
          <w:szCs w:val="10"/>
        </w:rPr>
      </w:pPr>
    </w:p>
    <w:p w14:paraId="7BA43BA3" w14:textId="77777777" w:rsidR="004C7DFF" w:rsidRDefault="00AD1B5D">
      <w:pPr>
        <w:numPr>
          <w:ilvl w:val="0"/>
          <w:numId w:val="1"/>
        </w:numPr>
        <w:spacing w:after="0" w:line="276" w:lineRule="auto"/>
        <w:jc w:val="both"/>
        <w:rPr>
          <w:rFonts w:ascii="Roboto" w:eastAsia="Roboto" w:hAnsi="Roboto" w:cs="Roboto"/>
          <w:sz w:val="18"/>
          <w:szCs w:val="18"/>
        </w:rPr>
      </w:pPr>
      <w:r>
        <w:rPr>
          <w:rFonts w:ascii="Roboto" w:eastAsia="Roboto" w:hAnsi="Roboto" w:cs="Roboto"/>
          <w:b/>
          <w:sz w:val="18"/>
          <w:szCs w:val="18"/>
        </w:rPr>
        <w:t>El alcance de la acreditación incluye programas con actividades imprescindibles, entre otras aplicaciones, para asegurar el éxito de trasplantes de órganos y de médula ósea o detectar la presencia de ciertos antígenos que ayudan determinar la propensión a padecer enfermedades autoinmunitarias o la sensibilidad a ciertos medicamentos</w:t>
      </w:r>
    </w:p>
    <w:p w14:paraId="7BA43BA4" w14:textId="77777777" w:rsidR="004C7DFF" w:rsidRDefault="004C7DFF">
      <w:pPr>
        <w:spacing w:after="0" w:line="276" w:lineRule="auto"/>
        <w:ind w:left="720"/>
        <w:jc w:val="both"/>
        <w:rPr>
          <w:rFonts w:ascii="Roboto" w:eastAsia="Roboto" w:hAnsi="Roboto" w:cs="Roboto"/>
          <w:b/>
          <w:sz w:val="18"/>
          <w:szCs w:val="18"/>
        </w:rPr>
      </w:pPr>
    </w:p>
    <w:p w14:paraId="7BA43BA5" w14:textId="77777777" w:rsidR="004C7DFF" w:rsidRDefault="00AD1B5D">
      <w:pPr>
        <w:numPr>
          <w:ilvl w:val="0"/>
          <w:numId w:val="1"/>
        </w:numPr>
        <w:spacing w:after="0" w:line="276" w:lineRule="auto"/>
        <w:jc w:val="both"/>
        <w:rPr>
          <w:rFonts w:ascii="Roboto" w:eastAsia="Roboto" w:hAnsi="Roboto" w:cs="Roboto"/>
          <w:b/>
          <w:sz w:val="18"/>
          <w:szCs w:val="18"/>
        </w:rPr>
      </w:pPr>
      <w:r>
        <w:rPr>
          <w:rFonts w:ascii="Roboto" w:eastAsia="Roboto" w:hAnsi="Roboto" w:cs="Roboto"/>
          <w:b/>
          <w:sz w:val="18"/>
          <w:szCs w:val="18"/>
        </w:rPr>
        <w:t xml:space="preserve">“La principal aportación de la acreditación es reforzar la propia seguridad de los inmunólogos a la hora de realizar su trabajo y la información que les permite detectar posibles problemas y solucionarlos”, Dra. M. Carmen Martín Alonso, inmunóloga y responsable del Programa Garantía Externa de Calidad para Laboratorios de Inmunología Diagnóstica (GECLID) del Centro de Hemoterapia y </w:t>
      </w:r>
      <w:proofErr w:type="spellStart"/>
      <w:r>
        <w:rPr>
          <w:rFonts w:ascii="Roboto" w:eastAsia="Roboto" w:hAnsi="Roboto" w:cs="Roboto"/>
          <w:b/>
          <w:sz w:val="18"/>
          <w:szCs w:val="18"/>
        </w:rPr>
        <w:t>Hemodonación</w:t>
      </w:r>
      <w:proofErr w:type="spellEnd"/>
      <w:r>
        <w:rPr>
          <w:rFonts w:ascii="Roboto" w:eastAsia="Roboto" w:hAnsi="Roboto" w:cs="Roboto"/>
          <w:b/>
          <w:sz w:val="18"/>
          <w:szCs w:val="18"/>
        </w:rPr>
        <w:t xml:space="preserve"> de Castilla y León (CHEMCYL)</w:t>
      </w:r>
    </w:p>
    <w:p w14:paraId="7BA43BA6" w14:textId="77777777" w:rsidR="004C7DFF" w:rsidRDefault="004C7DFF">
      <w:pPr>
        <w:spacing w:after="0" w:line="276" w:lineRule="auto"/>
        <w:ind w:left="720"/>
        <w:jc w:val="both"/>
        <w:rPr>
          <w:rFonts w:ascii="Roboto" w:eastAsia="Roboto" w:hAnsi="Roboto" w:cs="Roboto"/>
          <w:b/>
          <w:sz w:val="20"/>
          <w:szCs w:val="20"/>
        </w:rPr>
      </w:pPr>
    </w:p>
    <w:p w14:paraId="27B38E25" w14:textId="77777777" w:rsidR="00FD2A3C" w:rsidRDefault="00FD2A3C" w:rsidP="57AD73F4">
      <w:pPr>
        <w:jc w:val="both"/>
        <w:rPr>
          <w:rFonts w:ascii="Roboto" w:eastAsia="Roboto" w:hAnsi="Roboto" w:cs="Roboto"/>
          <w:color w:val="000000" w:themeColor="text1"/>
          <w:sz w:val="20"/>
          <w:szCs w:val="20"/>
        </w:rPr>
      </w:pPr>
    </w:p>
    <w:p w14:paraId="205A7C3B" w14:textId="7BB9F331" w:rsidR="4E63E281" w:rsidRDefault="4E63E281" w:rsidP="57AD73F4">
      <w:pPr>
        <w:jc w:val="both"/>
        <w:rPr>
          <w:rFonts w:ascii="Roboto" w:eastAsia="Roboto" w:hAnsi="Roboto" w:cs="Roboto"/>
          <w:color w:val="000000" w:themeColor="text1"/>
          <w:sz w:val="20"/>
          <w:szCs w:val="20"/>
        </w:rPr>
      </w:pPr>
      <w:r w:rsidRPr="59DA229F">
        <w:rPr>
          <w:rFonts w:ascii="Roboto" w:eastAsia="Roboto" w:hAnsi="Roboto" w:cs="Roboto"/>
          <w:color w:val="000000" w:themeColor="text1"/>
          <w:sz w:val="20"/>
          <w:szCs w:val="20"/>
        </w:rPr>
        <w:t xml:space="preserve">Madrid, </w:t>
      </w:r>
      <w:r w:rsidR="0F2227A2" w:rsidRPr="59DA229F">
        <w:rPr>
          <w:rFonts w:ascii="Roboto" w:eastAsia="Roboto" w:hAnsi="Roboto" w:cs="Roboto"/>
          <w:color w:val="000000" w:themeColor="text1"/>
          <w:sz w:val="20"/>
          <w:szCs w:val="20"/>
        </w:rPr>
        <w:t xml:space="preserve">28 </w:t>
      </w:r>
      <w:r w:rsidRPr="59DA229F">
        <w:rPr>
          <w:rFonts w:ascii="Roboto" w:eastAsia="Roboto" w:hAnsi="Roboto" w:cs="Roboto"/>
          <w:color w:val="000000" w:themeColor="text1"/>
          <w:sz w:val="20"/>
          <w:szCs w:val="20"/>
        </w:rPr>
        <w:t xml:space="preserve">de julio de 2023.- La Entidad Nacional de Acreditación (ENAC) ha concedido a la Fundación de Hemoterapia y </w:t>
      </w:r>
      <w:proofErr w:type="spellStart"/>
      <w:r w:rsidRPr="59DA229F">
        <w:rPr>
          <w:rFonts w:ascii="Roboto" w:eastAsia="Roboto" w:hAnsi="Roboto" w:cs="Roboto"/>
          <w:color w:val="000000" w:themeColor="text1"/>
          <w:sz w:val="20"/>
          <w:szCs w:val="20"/>
        </w:rPr>
        <w:t>Hemodonación</w:t>
      </w:r>
      <w:proofErr w:type="spellEnd"/>
      <w:r w:rsidRPr="59DA229F">
        <w:rPr>
          <w:rFonts w:ascii="Roboto" w:eastAsia="Roboto" w:hAnsi="Roboto" w:cs="Roboto"/>
          <w:color w:val="000000" w:themeColor="text1"/>
          <w:sz w:val="20"/>
          <w:szCs w:val="20"/>
        </w:rPr>
        <w:t xml:space="preserve"> de Castilla y León la primera acreditación en España para algunos esquemas de su programa </w:t>
      </w:r>
      <w:r w:rsidRPr="59DA229F">
        <w:rPr>
          <w:rFonts w:ascii="Roboto" w:eastAsia="Roboto" w:hAnsi="Roboto" w:cs="Roboto"/>
          <w:b/>
          <w:bCs/>
          <w:color w:val="000000" w:themeColor="text1"/>
          <w:sz w:val="20"/>
          <w:szCs w:val="20"/>
        </w:rPr>
        <w:t>Garantía Externa de Calidad para Laboratorios de Inmunología Diagnóstica</w:t>
      </w:r>
      <w:r w:rsidRPr="59DA229F">
        <w:rPr>
          <w:rFonts w:ascii="Roboto" w:eastAsia="Roboto" w:hAnsi="Roboto" w:cs="Roboto"/>
          <w:color w:val="000000" w:themeColor="text1"/>
          <w:sz w:val="20"/>
          <w:szCs w:val="20"/>
        </w:rPr>
        <w:t xml:space="preserve"> (GECLID).</w:t>
      </w:r>
    </w:p>
    <w:p w14:paraId="325F428B" w14:textId="4F86A6CD" w:rsidR="004C7DFF" w:rsidRDefault="00AD1B5D">
      <w:pPr>
        <w:jc w:val="both"/>
        <w:rPr>
          <w:rFonts w:ascii="Roboto" w:eastAsia="Roboto" w:hAnsi="Roboto" w:cs="Roboto"/>
          <w:color w:val="000000" w:themeColor="text1"/>
          <w:sz w:val="20"/>
          <w:szCs w:val="20"/>
        </w:rPr>
      </w:pPr>
      <w:r w:rsidRPr="7907F82E">
        <w:rPr>
          <w:rFonts w:ascii="Roboto" w:eastAsia="Roboto" w:hAnsi="Roboto" w:cs="Roboto"/>
          <w:color w:val="000000" w:themeColor="text1"/>
          <w:sz w:val="20"/>
          <w:szCs w:val="20"/>
        </w:rPr>
        <w:t xml:space="preserve">En concreto, la actividad acreditada incluye los programas para la detección e identificación de anticuerpos anti HPA, </w:t>
      </w:r>
      <w:proofErr w:type="spellStart"/>
      <w:r w:rsidRPr="7907F82E">
        <w:rPr>
          <w:rFonts w:ascii="Roboto" w:eastAsia="Roboto" w:hAnsi="Roboto" w:cs="Roboto"/>
          <w:color w:val="000000" w:themeColor="text1"/>
          <w:sz w:val="20"/>
          <w:szCs w:val="20"/>
        </w:rPr>
        <w:t>tipaje</w:t>
      </w:r>
      <w:proofErr w:type="spellEnd"/>
      <w:r w:rsidRPr="7907F82E">
        <w:rPr>
          <w:rFonts w:ascii="Roboto" w:eastAsia="Roboto" w:hAnsi="Roboto" w:cs="Roboto"/>
          <w:color w:val="000000" w:themeColor="text1"/>
          <w:sz w:val="20"/>
          <w:szCs w:val="20"/>
        </w:rPr>
        <w:t xml:space="preserve"> de alta resolución HLA, </w:t>
      </w:r>
      <w:proofErr w:type="spellStart"/>
      <w:r w:rsidRPr="7907F82E">
        <w:rPr>
          <w:rFonts w:ascii="Roboto" w:eastAsia="Roboto" w:hAnsi="Roboto" w:cs="Roboto"/>
          <w:color w:val="000000" w:themeColor="text1"/>
          <w:sz w:val="20"/>
          <w:szCs w:val="20"/>
        </w:rPr>
        <w:t>tipaje</w:t>
      </w:r>
      <w:proofErr w:type="spellEnd"/>
      <w:r w:rsidRPr="7907F82E">
        <w:rPr>
          <w:rFonts w:ascii="Roboto" w:eastAsia="Roboto" w:hAnsi="Roboto" w:cs="Roboto"/>
          <w:color w:val="000000" w:themeColor="text1"/>
          <w:sz w:val="20"/>
          <w:szCs w:val="20"/>
        </w:rPr>
        <w:t xml:space="preserve"> relacionado con enfermedad celíaca, </w:t>
      </w:r>
      <w:proofErr w:type="spellStart"/>
      <w:r w:rsidRPr="7907F82E">
        <w:rPr>
          <w:rFonts w:ascii="Roboto" w:eastAsia="Roboto" w:hAnsi="Roboto" w:cs="Roboto"/>
          <w:color w:val="000000" w:themeColor="text1"/>
          <w:sz w:val="20"/>
          <w:szCs w:val="20"/>
        </w:rPr>
        <w:t>tipaje</w:t>
      </w:r>
      <w:proofErr w:type="spellEnd"/>
      <w:r w:rsidRPr="7907F82E">
        <w:rPr>
          <w:rFonts w:ascii="Roboto" w:eastAsia="Roboto" w:hAnsi="Roboto" w:cs="Roboto"/>
          <w:color w:val="000000" w:themeColor="text1"/>
          <w:sz w:val="20"/>
          <w:szCs w:val="20"/>
        </w:rPr>
        <w:t xml:space="preserve"> KIR y pruebas cruzadas por citotoxicidad o citometría de flujo. </w:t>
      </w:r>
      <w:r w:rsidRPr="7907F82E">
        <w:rPr>
          <w:rFonts w:ascii="Roboto" w:eastAsia="Roboto" w:hAnsi="Roboto" w:cs="Roboto"/>
          <w:b/>
          <w:color w:val="000000" w:themeColor="text1"/>
          <w:sz w:val="20"/>
          <w:szCs w:val="20"/>
        </w:rPr>
        <w:t>Se trata de actividades que son imprescindibles, entre otras aplicaciones, para asegurar el éxito de trasplantes de órganos y de médula ósea o detectar la presencia de ciertos antígenos que ayudan determinar la propensión a padecer enfermedades autoinmunitarias</w:t>
      </w:r>
      <w:r w:rsidRPr="7907F82E">
        <w:rPr>
          <w:rFonts w:ascii="Roboto" w:eastAsia="Roboto" w:hAnsi="Roboto" w:cs="Roboto"/>
          <w:color w:val="000000" w:themeColor="text1"/>
          <w:sz w:val="20"/>
          <w:szCs w:val="20"/>
        </w:rPr>
        <w:t xml:space="preserve"> (celiaquía, espondilitis anquilosante) o la sensibilidad a ciertos medicamentos. </w:t>
      </w:r>
    </w:p>
    <w:p w14:paraId="7BA43BA9" w14:textId="6C631E2D" w:rsidR="004C7DFF" w:rsidRDefault="00AD1B5D">
      <w:pPr>
        <w:jc w:val="both"/>
        <w:rPr>
          <w:rFonts w:ascii="Roboto" w:eastAsia="Roboto" w:hAnsi="Roboto" w:cs="Roboto"/>
          <w:sz w:val="20"/>
          <w:szCs w:val="20"/>
        </w:rPr>
      </w:pPr>
      <w:r w:rsidRPr="59DA229F">
        <w:rPr>
          <w:rFonts w:ascii="Roboto" w:eastAsia="Roboto" w:hAnsi="Roboto" w:cs="Roboto"/>
          <w:sz w:val="20"/>
          <w:szCs w:val="20"/>
        </w:rPr>
        <w:t>Así lo explica</w:t>
      </w:r>
      <w:r w:rsidR="55FE20AA" w:rsidRPr="59DA229F">
        <w:rPr>
          <w:rFonts w:ascii="Roboto" w:eastAsia="Roboto" w:hAnsi="Roboto" w:cs="Roboto"/>
          <w:sz w:val="20"/>
          <w:szCs w:val="20"/>
        </w:rPr>
        <w:t xml:space="preserve"> </w:t>
      </w:r>
      <w:r w:rsidRPr="59DA229F">
        <w:rPr>
          <w:rFonts w:ascii="Roboto" w:eastAsia="Roboto" w:hAnsi="Roboto" w:cs="Roboto"/>
          <w:sz w:val="20"/>
          <w:szCs w:val="20"/>
        </w:rPr>
        <w:t xml:space="preserve">la Dra. M. Carmen Martín Alonso, </w:t>
      </w:r>
      <w:sdt>
        <w:sdtPr>
          <w:tag w:val="goog_rdk_11"/>
          <w:id w:val="-761685765"/>
          <w:placeholder>
            <w:docPart w:val="526BA0B109784CB091FA0D53F9180B61"/>
          </w:placeholder>
        </w:sdtPr>
        <w:sdtEndPr/>
        <w:sdtContent>
          <w:r w:rsidRPr="59DA229F">
            <w:rPr>
              <w:rFonts w:ascii="Roboto" w:eastAsia="Roboto" w:hAnsi="Roboto" w:cs="Roboto"/>
              <w:sz w:val="20"/>
              <w:szCs w:val="20"/>
            </w:rPr>
            <w:t>i</w:t>
          </w:r>
        </w:sdtContent>
      </w:sdt>
      <w:r w:rsidRPr="59DA229F">
        <w:rPr>
          <w:rFonts w:ascii="Roboto" w:eastAsia="Roboto" w:hAnsi="Roboto" w:cs="Roboto"/>
          <w:sz w:val="20"/>
          <w:szCs w:val="20"/>
        </w:rPr>
        <w:t xml:space="preserve">nmunóloga y responsable del Programa Garantía Externa de Calidad para Laboratorios de Inmunología Diagnóstica (GECLID) del Centro de Hemoterapia y </w:t>
      </w:r>
      <w:proofErr w:type="spellStart"/>
      <w:r w:rsidRPr="59DA229F">
        <w:rPr>
          <w:rFonts w:ascii="Roboto" w:eastAsia="Roboto" w:hAnsi="Roboto" w:cs="Roboto"/>
          <w:sz w:val="20"/>
          <w:szCs w:val="20"/>
        </w:rPr>
        <w:t>Hemodonación</w:t>
      </w:r>
      <w:proofErr w:type="spellEnd"/>
      <w:r w:rsidRPr="59DA229F">
        <w:rPr>
          <w:rFonts w:ascii="Roboto" w:eastAsia="Roboto" w:hAnsi="Roboto" w:cs="Roboto"/>
          <w:sz w:val="20"/>
          <w:szCs w:val="20"/>
        </w:rPr>
        <w:t xml:space="preserve"> de Castilla y León (CHEMCYL): “Dentro de la inmunología diagnóstica, la mayor dificultad corresponde a las pruebas relacionadas con el campo del trasplante, ya que requieren entrenamiento para su interpretación, son técnicamente complejas y las decisiones que se apoyan en ellos son críticas, tanto en la selección de parejas donante receptor compatibles, como para asegurar la mejor evolución posible tras el trasplante”.</w:t>
      </w:r>
    </w:p>
    <w:p w14:paraId="7BA43BAA" w14:textId="77777777" w:rsidR="004C7DFF" w:rsidRDefault="00AD1B5D">
      <w:pPr>
        <w:spacing w:before="280" w:after="280"/>
        <w:jc w:val="both"/>
        <w:rPr>
          <w:rFonts w:ascii="Roboto" w:eastAsia="Roboto" w:hAnsi="Roboto" w:cs="Roboto"/>
          <w:sz w:val="20"/>
          <w:szCs w:val="20"/>
        </w:rPr>
      </w:pPr>
      <w:r>
        <w:rPr>
          <w:rFonts w:ascii="Roboto" w:eastAsia="Roboto" w:hAnsi="Roboto" w:cs="Roboto"/>
          <w:sz w:val="20"/>
          <w:szCs w:val="20"/>
        </w:rPr>
        <w:t>Sobre los motivos para optar a esta acreditación, la doctora señala que su importancia radica en que “los laboratorios consigan, por un lado, una evidencia, que es muchas veces requerida por sus organizaciones o por entidades como la EFI (</w:t>
      </w:r>
      <w:proofErr w:type="spellStart"/>
      <w:r>
        <w:rPr>
          <w:rFonts w:ascii="Roboto" w:eastAsia="Roboto" w:hAnsi="Roboto" w:cs="Roboto"/>
          <w:sz w:val="20"/>
          <w:szCs w:val="20"/>
        </w:rPr>
        <w:t>European</w:t>
      </w:r>
      <w:proofErr w:type="spellEnd"/>
      <w:r>
        <w:rPr>
          <w:rFonts w:ascii="Roboto" w:eastAsia="Roboto" w:hAnsi="Roboto" w:cs="Roboto"/>
          <w:sz w:val="20"/>
          <w:szCs w:val="20"/>
        </w:rPr>
        <w:t xml:space="preserve"> </w:t>
      </w:r>
      <w:proofErr w:type="spellStart"/>
      <w:r>
        <w:rPr>
          <w:rFonts w:ascii="Roboto" w:eastAsia="Roboto" w:hAnsi="Roboto" w:cs="Roboto"/>
          <w:sz w:val="20"/>
          <w:szCs w:val="20"/>
        </w:rPr>
        <w:t>Federation</w:t>
      </w:r>
      <w:proofErr w:type="spellEnd"/>
      <w:r>
        <w:rPr>
          <w:rFonts w:ascii="Roboto" w:eastAsia="Roboto" w:hAnsi="Roboto" w:cs="Roboto"/>
          <w:sz w:val="20"/>
          <w:szCs w:val="20"/>
        </w:rPr>
        <w:t xml:space="preserve"> </w:t>
      </w:r>
      <w:proofErr w:type="spellStart"/>
      <w:r>
        <w:rPr>
          <w:rFonts w:ascii="Roboto" w:eastAsia="Roboto" w:hAnsi="Roboto" w:cs="Roboto"/>
          <w:sz w:val="20"/>
          <w:szCs w:val="20"/>
        </w:rPr>
        <w:t>for</w:t>
      </w:r>
      <w:proofErr w:type="spellEnd"/>
      <w:r>
        <w:rPr>
          <w:rFonts w:ascii="Roboto" w:eastAsia="Roboto" w:hAnsi="Roboto" w:cs="Roboto"/>
          <w:sz w:val="20"/>
          <w:szCs w:val="20"/>
        </w:rPr>
        <w:t xml:space="preserve"> </w:t>
      </w:r>
      <w:proofErr w:type="spellStart"/>
      <w:r>
        <w:rPr>
          <w:rFonts w:ascii="Roboto" w:eastAsia="Roboto" w:hAnsi="Roboto" w:cs="Roboto"/>
          <w:sz w:val="20"/>
          <w:szCs w:val="20"/>
        </w:rPr>
        <w:t>Immunogenetics</w:t>
      </w:r>
      <w:proofErr w:type="spellEnd"/>
      <w:r>
        <w:rPr>
          <w:rFonts w:ascii="Roboto" w:eastAsia="Roboto" w:hAnsi="Roboto" w:cs="Roboto"/>
          <w:sz w:val="20"/>
          <w:szCs w:val="20"/>
        </w:rPr>
        <w:t>)”, pero que “</w:t>
      </w:r>
      <w:r>
        <w:rPr>
          <w:rFonts w:ascii="Roboto" w:eastAsia="Roboto" w:hAnsi="Roboto" w:cs="Roboto"/>
          <w:b/>
          <w:sz w:val="20"/>
          <w:szCs w:val="20"/>
        </w:rPr>
        <w:t>la principal aportación es reforzar la propia seguridad de los inmunólogos a la hora de realizar su trabajo y la información que les permite detectar posibles problemas y solucionarlos</w:t>
      </w:r>
      <w:r>
        <w:rPr>
          <w:rFonts w:ascii="Roboto" w:eastAsia="Roboto" w:hAnsi="Roboto" w:cs="Roboto"/>
          <w:sz w:val="20"/>
          <w:szCs w:val="20"/>
        </w:rPr>
        <w:t>”. En este sentido, añade que al optar por servicios acreditados “</w:t>
      </w:r>
      <w:r>
        <w:rPr>
          <w:rFonts w:ascii="Roboto" w:eastAsia="Roboto" w:hAnsi="Roboto" w:cs="Roboto"/>
          <w:b/>
          <w:sz w:val="20"/>
          <w:szCs w:val="20"/>
        </w:rPr>
        <w:t>el profesional tiene la garantía de que los ejercicios se han llevado a cabo con total transparencia, trazabilidad y en las mismas condiciones para todos los participantes, además de saber que se han seguido todas las consideraciones necesarias para asegurar la objetividad y fiabilidad de los informes que reciben</w:t>
      </w:r>
      <w:r>
        <w:rPr>
          <w:rFonts w:ascii="Roboto" w:eastAsia="Roboto" w:hAnsi="Roboto" w:cs="Roboto"/>
          <w:sz w:val="20"/>
          <w:szCs w:val="20"/>
        </w:rPr>
        <w:t>”.</w:t>
      </w:r>
    </w:p>
    <w:p w14:paraId="7BA43BAB" w14:textId="77777777" w:rsidR="004C7DFF" w:rsidRDefault="00AD1B5D">
      <w:pPr>
        <w:spacing w:before="280" w:after="280" w:line="240" w:lineRule="auto"/>
        <w:jc w:val="both"/>
        <w:rPr>
          <w:rFonts w:ascii="Roboto" w:eastAsia="Roboto" w:hAnsi="Roboto" w:cs="Roboto"/>
          <w:sz w:val="20"/>
          <w:szCs w:val="20"/>
        </w:rPr>
      </w:pPr>
      <w:r>
        <w:rPr>
          <w:rFonts w:ascii="Roboto" w:eastAsia="Roboto" w:hAnsi="Roboto" w:cs="Roboto"/>
          <w:sz w:val="20"/>
          <w:szCs w:val="20"/>
        </w:rPr>
        <w:lastRenderedPageBreak/>
        <w:t xml:space="preserve">El programa Garantía Externa de Calidad para Laboratorios de Inmunología Diagnóstica (GECLID) comenzó en 2011 gracias a una iniciativa de la Sociedad Española de Inmunología (SEI), la cual “venía desarrollado desde hacía 20 años talleres de intercambio de muestras y se planteaba un programa de controles como un salto cualitativo para dar mayor solidez a estas herramientas, que siempre se habían considerado imprescindibles en nuestra sociedad”, indica Martín Alonso. Asimismo, entre las motivaciones para implementar este servicio, destaca que en aquel momento “no solo sería el primer programa en España para la provisión de garantía externa de calidad dirigida a laboratorios de inmunología, sino que sería también importante a nivel internacional, dado que existen muy pocos programas de </w:t>
      </w:r>
      <w:proofErr w:type="spellStart"/>
      <w:r>
        <w:rPr>
          <w:rFonts w:ascii="Roboto" w:eastAsia="Roboto" w:hAnsi="Roboto" w:cs="Roboto"/>
          <w:sz w:val="20"/>
          <w:szCs w:val="20"/>
        </w:rPr>
        <w:t>intercomparaciones</w:t>
      </w:r>
      <w:proofErr w:type="spellEnd"/>
      <w:r>
        <w:rPr>
          <w:rFonts w:ascii="Roboto" w:eastAsia="Roboto" w:hAnsi="Roboto" w:cs="Roboto"/>
          <w:sz w:val="20"/>
          <w:szCs w:val="20"/>
        </w:rPr>
        <w:t xml:space="preserve"> para inmunología”.</w:t>
      </w:r>
    </w:p>
    <w:p w14:paraId="7BA43BAC" w14:textId="77777777" w:rsidR="004C7DFF" w:rsidRDefault="00AD1B5D">
      <w:pPr>
        <w:spacing w:after="0" w:line="240" w:lineRule="auto"/>
        <w:jc w:val="both"/>
        <w:rPr>
          <w:rFonts w:ascii="Roboto" w:eastAsia="Roboto" w:hAnsi="Roboto" w:cs="Roboto"/>
          <w:b/>
          <w:color w:val="E83544"/>
          <w:sz w:val="20"/>
          <w:szCs w:val="20"/>
        </w:rPr>
      </w:pPr>
      <w:r>
        <w:rPr>
          <w:rFonts w:ascii="Roboto" w:eastAsia="Roboto" w:hAnsi="Roboto" w:cs="Roboto"/>
          <w:b/>
          <w:color w:val="E83544"/>
          <w:sz w:val="20"/>
          <w:szCs w:val="20"/>
        </w:rPr>
        <w:t>Sobre ENAC y el sector sanitario</w:t>
      </w:r>
    </w:p>
    <w:p w14:paraId="7BA43BAD" w14:textId="77777777" w:rsidR="004C7DFF" w:rsidRDefault="004C7DFF">
      <w:pPr>
        <w:spacing w:after="0" w:line="240" w:lineRule="auto"/>
        <w:jc w:val="both"/>
        <w:rPr>
          <w:rFonts w:ascii="Roboto" w:eastAsia="Roboto" w:hAnsi="Roboto" w:cs="Roboto"/>
          <w:b/>
          <w:color w:val="E83544"/>
          <w:sz w:val="20"/>
          <w:szCs w:val="20"/>
        </w:rPr>
      </w:pPr>
    </w:p>
    <w:p w14:paraId="7BA43BAE" w14:textId="77777777" w:rsidR="004C7DFF" w:rsidRDefault="00AD1B5D">
      <w:pPr>
        <w:jc w:val="both"/>
        <w:rPr>
          <w:rFonts w:ascii="Roboto" w:eastAsia="Roboto" w:hAnsi="Roboto" w:cs="Roboto"/>
          <w:color w:val="000000"/>
          <w:sz w:val="20"/>
          <w:szCs w:val="20"/>
        </w:rPr>
      </w:pPr>
      <w:r>
        <w:rPr>
          <w:rFonts w:ascii="Roboto" w:eastAsia="Roboto" w:hAnsi="Roboto" w:cs="Roboto"/>
          <w:color w:val="000000"/>
          <w:sz w:val="20"/>
          <w:szCs w:val="20"/>
        </w:rPr>
        <w:t>La calidad y la seguridad son dos elementos fundamentales para garantizar un sistema sanitario acorde con las necesidades actuales. La acreditación de ENAC proporciona</w:t>
      </w:r>
      <w:r>
        <w:rPr>
          <w:rFonts w:ascii="Roboto" w:eastAsia="Roboto" w:hAnsi="Roboto" w:cs="Roboto"/>
          <w:b/>
          <w:color w:val="000000"/>
          <w:sz w:val="20"/>
          <w:szCs w:val="20"/>
        </w:rPr>
        <w:t xml:space="preserve"> </w:t>
      </w:r>
      <w:r>
        <w:rPr>
          <w:rFonts w:ascii="Roboto" w:eastAsia="Roboto" w:hAnsi="Roboto" w:cs="Roboto"/>
          <w:color w:val="000000"/>
          <w:sz w:val="20"/>
          <w:szCs w:val="20"/>
        </w:rPr>
        <w:t xml:space="preserve">confianza en los diferentes ámbitos y etapas de la prestación de los servicios siendo un sector en el que cada vez se hace más uso de la acreditación como instrumento de seguridad y control.  </w:t>
      </w:r>
    </w:p>
    <w:p w14:paraId="7BA43BAF" w14:textId="77777777" w:rsidR="004C7DFF" w:rsidRDefault="00AD1B5D">
      <w:pPr>
        <w:jc w:val="both"/>
        <w:rPr>
          <w:rFonts w:ascii="Roboto" w:eastAsia="Roboto" w:hAnsi="Roboto" w:cs="Roboto"/>
          <w:color w:val="000000"/>
          <w:sz w:val="20"/>
          <w:szCs w:val="20"/>
        </w:rPr>
      </w:pPr>
      <w:r>
        <w:rPr>
          <w:rFonts w:ascii="Roboto" w:eastAsia="Roboto" w:hAnsi="Roboto" w:cs="Roboto"/>
          <w:color w:val="000000"/>
          <w:sz w:val="20"/>
          <w:szCs w:val="20"/>
        </w:rPr>
        <w:t xml:space="preserve">ENAC ha acreditado a laboratorios de muy diversas especialidades (inmunología, bioquímica, genética, microbiología, hematología, anatomía patológica) y de diferentes niveles de especialización, desde centros nacionales de referencia a laboratorios hospitalarios de rutina y de urgencias, tanto públicos como privados.  </w:t>
      </w:r>
    </w:p>
    <w:p w14:paraId="7BA43BB0" w14:textId="77777777" w:rsidR="004C7DFF" w:rsidRDefault="00AD1B5D">
      <w:pPr>
        <w:jc w:val="both"/>
        <w:rPr>
          <w:rFonts w:ascii="Roboto" w:eastAsia="Roboto" w:hAnsi="Roboto" w:cs="Roboto"/>
          <w:color w:val="000000"/>
          <w:sz w:val="20"/>
          <w:szCs w:val="20"/>
        </w:rPr>
      </w:pPr>
      <w:r>
        <w:rPr>
          <w:rFonts w:ascii="Roboto" w:eastAsia="Roboto" w:hAnsi="Roboto" w:cs="Roboto"/>
          <w:color w:val="000000"/>
          <w:sz w:val="20"/>
          <w:szCs w:val="20"/>
        </w:rPr>
        <w:t xml:space="preserve">La acreditación es la herramienta que proporciona confianza a los pacientes, prescriptores y gestores de servicios sanitarios y sociosanitarios de que los laboratorios clínicos han demostrado su competencia al superar un proceso de evaluación independiente y conforme a normas reconocidas internacionalmente. La norma UNE-EN ISO 15189 es el estándar especialmente enfocado al paciente como eje central de la actividad del laboratorio clínico. </w:t>
      </w:r>
    </w:p>
    <w:p w14:paraId="7BA43BB1" w14:textId="77777777" w:rsidR="004C7DFF" w:rsidRDefault="00AD1B5D">
      <w:pPr>
        <w:jc w:val="both"/>
        <w:rPr>
          <w:rFonts w:ascii="Roboto" w:eastAsia="Roboto" w:hAnsi="Roboto" w:cs="Roboto"/>
          <w:color w:val="000000"/>
          <w:sz w:val="20"/>
          <w:szCs w:val="20"/>
        </w:rPr>
      </w:pPr>
      <w:r>
        <w:rPr>
          <w:rFonts w:ascii="Roboto" w:eastAsia="Roboto" w:hAnsi="Roboto" w:cs="Roboto"/>
          <w:color w:val="000000"/>
          <w:sz w:val="20"/>
          <w:szCs w:val="20"/>
        </w:rPr>
        <w:t xml:space="preserve">La Entidad Nacional de Acreditación – ENAC – es la entidad designada por el Gobierno para operar en España como el único Organismo Nacional de Acreditación, en aplicación del Reglamento (CE) nº765/2008 del Parlamento Europeo que regula el funcionamiento de la acreditación en Europa. </w:t>
      </w:r>
    </w:p>
    <w:p w14:paraId="7BA43BB2" w14:textId="77777777" w:rsidR="004C7DFF" w:rsidRDefault="004C7DFF">
      <w:pPr>
        <w:jc w:val="both"/>
        <w:rPr>
          <w:rFonts w:ascii="Roboto" w:eastAsia="Roboto" w:hAnsi="Roboto" w:cs="Roboto"/>
          <w:color w:val="000000"/>
          <w:sz w:val="20"/>
          <w:szCs w:val="20"/>
        </w:rPr>
      </w:pPr>
    </w:p>
    <w:p w14:paraId="7BA43BB3" w14:textId="77777777" w:rsidR="004C7DFF" w:rsidRDefault="004C7DFF">
      <w:pPr>
        <w:pBdr>
          <w:top w:val="nil"/>
          <w:left w:val="nil"/>
          <w:bottom w:val="nil"/>
          <w:right w:val="nil"/>
          <w:between w:val="nil"/>
        </w:pBdr>
        <w:jc w:val="both"/>
        <w:rPr>
          <w:rFonts w:ascii="Roboto" w:eastAsia="Roboto" w:hAnsi="Roboto" w:cs="Roboto"/>
          <w:color w:val="000000"/>
          <w:sz w:val="20"/>
          <w:szCs w:val="20"/>
        </w:rPr>
      </w:pPr>
    </w:p>
    <w:p w14:paraId="7BA43BB4" w14:textId="77777777" w:rsidR="004C7DFF" w:rsidRDefault="00FD2A3C">
      <w:pPr>
        <w:pBdr>
          <w:bottom w:val="single" w:sz="12" w:space="1" w:color="000000"/>
        </w:pBdr>
        <w:spacing w:after="0" w:line="240" w:lineRule="auto"/>
        <w:jc w:val="both"/>
        <w:rPr>
          <w:rFonts w:ascii="Roboto" w:eastAsia="Roboto" w:hAnsi="Roboto" w:cs="Roboto"/>
          <w:color w:val="000000"/>
          <w:sz w:val="20"/>
          <w:szCs w:val="20"/>
        </w:rPr>
      </w:pPr>
      <w:hyperlink r:id="rId11">
        <w:r w:rsidR="00AD1B5D">
          <w:rPr>
            <w:rFonts w:ascii="Roboto" w:eastAsia="Roboto" w:hAnsi="Roboto" w:cs="Roboto"/>
            <w:color w:val="000000"/>
            <w:sz w:val="20"/>
            <w:szCs w:val="20"/>
            <w:u w:val="single"/>
          </w:rPr>
          <w:t>www.enac.es</w:t>
        </w:r>
      </w:hyperlink>
      <w:r w:rsidR="00AD1B5D">
        <w:rPr>
          <w:rFonts w:ascii="Roboto" w:eastAsia="Roboto" w:hAnsi="Roboto" w:cs="Roboto"/>
          <w:color w:val="000000"/>
          <w:sz w:val="20"/>
          <w:szCs w:val="20"/>
        </w:rPr>
        <w:t xml:space="preserve"> </w:t>
      </w:r>
    </w:p>
    <w:p w14:paraId="7BA43BB5" w14:textId="77777777" w:rsidR="004C7DFF" w:rsidRDefault="004C7DFF">
      <w:pPr>
        <w:pBdr>
          <w:bottom w:val="single" w:sz="12" w:space="1" w:color="000000"/>
        </w:pBdr>
        <w:spacing w:after="0" w:line="240" w:lineRule="auto"/>
        <w:jc w:val="both"/>
        <w:rPr>
          <w:rFonts w:ascii="Roboto" w:eastAsia="Roboto" w:hAnsi="Roboto" w:cs="Roboto"/>
          <w:color w:val="000000"/>
          <w:sz w:val="20"/>
          <w:szCs w:val="20"/>
        </w:rPr>
      </w:pPr>
    </w:p>
    <w:p w14:paraId="7BA43BB6" w14:textId="77777777" w:rsidR="004C7DFF" w:rsidRDefault="00AD1B5D">
      <w:pPr>
        <w:pBdr>
          <w:bottom w:val="single" w:sz="12" w:space="1" w:color="000000"/>
        </w:pBdr>
        <w:spacing w:after="0" w:line="240" w:lineRule="auto"/>
        <w:jc w:val="both"/>
        <w:rPr>
          <w:rFonts w:ascii="Roboto" w:eastAsia="Roboto" w:hAnsi="Roboto" w:cs="Roboto"/>
          <w:color w:val="000000"/>
          <w:sz w:val="20"/>
          <w:szCs w:val="20"/>
        </w:rPr>
      </w:pPr>
      <w:r>
        <w:rPr>
          <w:rFonts w:ascii="Roboto" w:eastAsia="Roboto" w:hAnsi="Roboto" w:cs="Roboto"/>
          <w:color w:val="000000"/>
          <w:sz w:val="20"/>
          <w:szCs w:val="20"/>
        </w:rPr>
        <w:t xml:space="preserve"> </w:t>
      </w:r>
      <w:r>
        <w:rPr>
          <w:rFonts w:ascii="Roboto" w:eastAsia="Roboto" w:hAnsi="Roboto" w:cs="Roboto"/>
          <w:noProof/>
          <w:color w:val="000000"/>
          <w:sz w:val="20"/>
          <w:szCs w:val="20"/>
        </w:rPr>
        <w:drawing>
          <wp:inline distT="0" distB="0" distL="0" distR="0" wp14:anchorId="7BA43BBE" wp14:editId="7BA43BBF">
            <wp:extent cx="304800" cy="304800"/>
            <wp:effectExtent l="0" t="0" r="0" b="0"/>
            <wp:docPr id="20" name="Imagen 20"/>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304800" cy="304800"/>
                    </a:xfrm>
                    <a:prstGeom prst="rect">
                      <a:avLst/>
                    </a:prstGeom>
                    <a:ln/>
                  </pic:spPr>
                </pic:pic>
              </a:graphicData>
            </a:graphic>
          </wp:inline>
        </w:drawing>
      </w:r>
      <w:r>
        <w:rPr>
          <w:rFonts w:ascii="Roboto" w:eastAsia="Roboto" w:hAnsi="Roboto" w:cs="Roboto"/>
          <w:color w:val="000000"/>
          <w:sz w:val="20"/>
          <w:szCs w:val="20"/>
        </w:rPr>
        <w:t xml:space="preserve">  </w:t>
      </w:r>
      <w:r>
        <w:rPr>
          <w:rFonts w:ascii="Roboto" w:eastAsia="Roboto" w:hAnsi="Roboto" w:cs="Roboto"/>
          <w:noProof/>
          <w:color w:val="000000"/>
          <w:sz w:val="20"/>
          <w:szCs w:val="20"/>
        </w:rPr>
        <w:drawing>
          <wp:inline distT="0" distB="0" distL="0" distR="0" wp14:anchorId="7BA43BC0" wp14:editId="7BA43BC1">
            <wp:extent cx="304800" cy="304800"/>
            <wp:effectExtent l="0" t="0" r="0" b="0"/>
            <wp:docPr id="21" name="Imagen 2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304800" cy="304800"/>
                    </a:xfrm>
                    <a:prstGeom prst="rect">
                      <a:avLst/>
                    </a:prstGeom>
                    <a:ln/>
                  </pic:spPr>
                </pic:pic>
              </a:graphicData>
            </a:graphic>
          </wp:inline>
        </w:drawing>
      </w:r>
    </w:p>
    <w:p w14:paraId="7BA43BB7" w14:textId="77777777" w:rsidR="004C7DFF" w:rsidRDefault="004C7DFF">
      <w:pPr>
        <w:pBdr>
          <w:bottom w:val="single" w:sz="12" w:space="1" w:color="000000"/>
        </w:pBdr>
        <w:spacing w:after="0" w:line="240" w:lineRule="auto"/>
        <w:jc w:val="both"/>
        <w:rPr>
          <w:rFonts w:ascii="Roboto" w:eastAsia="Roboto" w:hAnsi="Roboto" w:cs="Roboto"/>
          <w:color w:val="000000"/>
          <w:sz w:val="20"/>
          <w:szCs w:val="20"/>
        </w:rPr>
      </w:pPr>
    </w:p>
    <w:p w14:paraId="7BA43BB8" w14:textId="77777777" w:rsidR="004C7DFF" w:rsidRDefault="004C7DFF">
      <w:pPr>
        <w:spacing w:after="0" w:line="240" w:lineRule="auto"/>
        <w:jc w:val="both"/>
        <w:rPr>
          <w:rFonts w:ascii="Roboto" w:eastAsia="Roboto" w:hAnsi="Roboto" w:cs="Roboto"/>
          <w:color w:val="000000"/>
          <w:sz w:val="20"/>
          <w:szCs w:val="20"/>
        </w:rPr>
      </w:pPr>
    </w:p>
    <w:p w14:paraId="7BA43BB9" w14:textId="77777777" w:rsidR="004C7DFF" w:rsidRDefault="00AD1B5D">
      <w:pPr>
        <w:spacing w:after="0" w:line="240" w:lineRule="auto"/>
        <w:jc w:val="both"/>
        <w:rPr>
          <w:rFonts w:ascii="Roboto" w:eastAsia="Roboto" w:hAnsi="Roboto" w:cs="Roboto"/>
          <w:color w:val="000000"/>
          <w:sz w:val="20"/>
          <w:szCs w:val="20"/>
        </w:rPr>
      </w:pPr>
      <w:r>
        <w:rPr>
          <w:rFonts w:ascii="Roboto" w:eastAsia="Roboto" w:hAnsi="Roboto" w:cs="Roboto"/>
          <w:color w:val="000000"/>
          <w:sz w:val="20"/>
          <w:szCs w:val="20"/>
        </w:rPr>
        <w:t>Para más información sobre la nota de prensa, resolver dudas o gestionar entrevistas</w:t>
      </w:r>
    </w:p>
    <w:p w14:paraId="7BA43BBA" w14:textId="77777777" w:rsidR="004C7DFF" w:rsidRDefault="00AD1B5D">
      <w:pPr>
        <w:spacing w:after="0" w:line="240" w:lineRule="auto"/>
        <w:jc w:val="both"/>
        <w:rPr>
          <w:rFonts w:ascii="Roboto" w:eastAsia="Roboto" w:hAnsi="Roboto" w:cs="Roboto"/>
          <w:color w:val="000000"/>
          <w:sz w:val="20"/>
          <w:szCs w:val="20"/>
        </w:rPr>
      </w:pPr>
      <w:r>
        <w:rPr>
          <w:rFonts w:ascii="Roboto" w:eastAsia="Roboto" w:hAnsi="Roboto" w:cs="Roboto"/>
          <w:color w:val="000000"/>
          <w:sz w:val="20"/>
          <w:szCs w:val="20"/>
        </w:rPr>
        <w:t>Eva Martín</w:t>
      </w:r>
    </w:p>
    <w:p w14:paraId="7BA43BBB" w14:textId="77777777" w:rsidR="004C7DFF" w:rsidRDefault="00AD1B5D">
      <w:pPr>
        <w:spacing w:after="0" w:line="240" w:lineRule="auto"/>
        <w:jc w:val="both"/>
        <w:rPr>
          <w:rFonts w:ascii="Roboto" w:eastAsia="Roboto" w:hAnsi="Roboto" w:cs="Roboto"/>
          <w:color w:val="000000"/>
          <w:sz w:val="20"/>
          <w:szCs w:val="20"/>
        </w:rPr>
      </w:pPr>
      <w:r>
        <w:rPr>
          <w:rFonts w:ascii="Roboto" w:eastAsia="Roboto" w:hAnsi="Roboto" w:cs="Roboto"/>
          <w:color w:val="000000"/>
          <w:sz w:val="20"/>
          <w:szCs w:val="20"/>
        </w:rPr>
        <w:t xml:space="preserve">Tfno. 628 17 49 01 /  </w:t>
      </w:r>
      <w:hyperlink r:id="rId14">
        <w:r>
          <w:rPr>
            <w:rFonts w:ascii="Roboto" w:eastAsia="Roboto" w:hAnsi="Roboto" w:cs="Roboto"/>
            <w:color w:val="000000"/>
            <w:sz w:val="20"/>
            <w:szCs w:val="20"/>
            <w:u w:val="single"/>
          </w:rPr>
          <w:t>evamc@varenga.es</w:t>
        </w:r>
      </w:hyperlink>
    </w:p>
    <w:p w14:paraId="7BA43BBC" w14:textId="77777777" w:rsidR="004C7DFF" w:rsidRDefault="004C7DFF">
      <w:pPr>
        <w:pBdr>
          <w:top w:val="nil"/>
          <w:left w:val="nil"/>
          <w:bottom w:val="nil"/>
          <w:right w:val="nil"/>
          <w:between w:val="nil"/>
        </w:pBdr>
        <w:spacing w:after="150" w:line="240" w:lineRule="auto"/>
        <w:jc w:val="both"/>
        <w:rPr>
          <w:rFonts w:ascii="Roboto" w:eastAsia="Roboto" w:hAnsi="Roboto" w:cs="Roboto"/>
          <w:color w:val="000000"/>
          <w:sz w:val="20"/>
          <w:szCs w:val="20"/>
        </w:rPr>
      </w:pPr>
    </w:p>
    <w:p w14:paraId="7BA43BBD" w14:textId="77777777" w:rsidR="004C7DFF" w:rsidRDefault="004C7DFF">
      <w:pPr>
        <w:pBdr>
          <w:top w:val="nil"/>
          <w:left w:val="nil"/>
          <w:bottom w:val="nil"/>
          <w:right w:val="nil"/>
          <w:between w:val="nil"/>
        </w:pBdr>
        <w:spacing w:after="150" w:line="240" w:lineRule="auto"/>
        <w:jc w:val="both"/>
        <w:rPr>
          <w:rFonts w:ascii="Roboto" w:eastAsia="Roboto" w:hAnsi="Roboto" w:cs="Roboto"/>
          <w:color w:val="000000"/>
        </w:rPr>
      </w:pPr>
    </w:p>
    <w:sectPr w:rsidR="004C7DFF">
      <w:headerReference w:type="default" r:id="rId15"/>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C62B5" w14:textId="77777777" w:rsidR="009A7889" w:rsidRDefault="009A7889">
      <w:pPr>
        <w:spacing w:after="0" w:line="240" w:lineRule="auto"/>
      </w:pPr>
      <w:r>
        <w:separator/>
      </w:r>
    </w:p>
  </w:endnote>
  <w:endnote w:type="continuationSeparator" w:id="0">
    <w:p w14:paraId="2CAF70E4" w14:textId="77777777" w:rsidR="009A7889" w:rsidRDefault="009A7889">
      <w:pPr>
        <w:spacing w:after="0" w:line="240" w:lineRule="auto"/>
      </w:pPr>
      <w:r>
        <w:continuationSeparator/>
      </w:r>
    </w:p>
  </w:endnote>
  <w:endnote w:type="continuationNotice" w:id="1">
    <w:p w14:paraId="1E8FF4D5" w14:textId="77777777" w:rsidR="009A7889" w:rsidRDefault="009A78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CCB7F" w14:textId="77777777" w:rsidR="009A7889" w:rsidRDefault="009A7889">
      <w:pPr>
        <w:spacing w:after="0" w:line="240" w:lineRule="auto"/>
      </w:pPr>
      <w:r>
        <w:separator/>
      </w:r>
    </w:p>
  </w:footnote>
  <w:footnote w:type="continuationSeparator" w:id="0">
    <w:p w14:paraId="347B5C27" w14:textId="77777777" w:rsidR="009A7889" w:rsidRDefault="009A7889">
      <w:pPr>
        <w:spacing w:after="0" w:line="240" w:lineRule="auto"/>
      </w:pPr>
      <w:r>
        <w:continuationSeparator/>
      </w:r>
    </w:p>
  </w:footnote>
  <w:footnote w:type="continuationNotice" w:id="1">
    <w:p w14:paraId="22392DD7" w14:textId="77777777" w:rsidR="009A7889" w:rsidRDefault="009A78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43BC2" w14:textId="77777777" w:rsidR="004C7DFF" w:rsidRDefault="00AD1B5D">
    <w:pPr>
      <w:spacing w:after="0" w:line="240" w:lineRule="auto"/>
      <w:ind w:left="-120"/>
      <w:jc w:val="both"/>
      <w:rPr>
        <w:rFonts w:ascii="Roboto" w:eastAsia="Roboto" w:hAnsi="Roboto" w:cs="Roboto"/>
        <w:b/>
        <w:sz w:val="40"/>
        <w:szCs w:val="40"/>
      </w:rPr>
    </w:pPr>
    <w:r>
      <w:rPr>
        <w:noProof/>
      </w:rPr>
      <w:drawing>
        <wp:anchor distT="114300" distB="114300" distL="114300" distR="114300" simplePos="0" relativeHeight="251658240" behindDoc="0" locked="0" layoutInCell="1" hidden="0" allowOverlap="1" wp14:anchorId="7BA43BC6" wp14:editId="7BA43BC7">
          <wp:simplePos x="0" y="0"/>
          <wp:positionH relativeFrom="column">
            <wp:posOffset>4371975</wp:posOffset>
          </wp:positionH>
          <wp:positionV relativeFrom="paragraph">
            <wp:posOffset>9533</wp:posOffset>
          </wp:positionV>
          <wp:extent cx="1547842" cy="997267"/>
          <wp:effectExtent l="0" t="0" r="0" b="0"/>
          <wp:wrapSquare wrapText="bothSides" distT="114300" distB="114300" distL="114300" distR="114300"/>
          <wp:docPr id="19" name="Imagen 19"/>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47842" cy="997267"/>
                  </a:xfrm>
                  <a:prstGeom prst="rect">
                    <a:avLst/>
                  </a:prstGeom>
                  <a:ln/>
                </pic:spPr>
              </pic:pic>
            </a:graphicData>
          </a:graphic>
        </wp:anchor>
      </w:drawing>
    </w:r>
  </w:p>
  <w:p w14:paraId="7BA43BC3" w14:textId="77777777" w:rsidR="004C7DFF" w:rsidRDefault="004C7DFF">
    <w:pPr>
      <w:spacing w:after="0" w:line="240" w:lineRule="auto"/>
      <w:ind w:left="-120"/>
      <w:jc w:val="both"/>
      <w:rPr>
        <w:rFonts w:ascii="Roboto" w:eastAsia="Roboto" w:hAnsi="Roboto" w:cs="Roboto"/>
        <w:b/>
        <w:sz w:val="40"/>
        <w:szCs w:val="40"/>
      </w:rPr>
    </w:pPr>
  </w:p>
  <w:p w14:paraId="7BA43BC4" w14:textId="77777777" w:rsidR="004C7DFF" w:rsidRDefault="00AD1B5D">
    <w:pPr>
      <w:spacing w:after="0" w:line="240" w:lineRule="auto"/>
      <w:ind w:left="-120"/>
      <w:jc w:val="both"/>
      <w:rPr>
        <w:rFonts w:ascii="Roboto" w:eastAsia="Roboto" w:hAnsi="Roboto" w:cs="Roboto"/>
      </w:rPr>
    </w:pPr>
    <w:r>
      <w:rPr>
        <w:rFonts w:ascii="Roboto" w:eastAsia="Roboto" w:hAnsi="Roboto" w:cs="Roboto"/>
        <w:b/>
        <w:sz w:val="40"/>
        <w:szCs w:val="40"/>
      </w:rPr>
      <w:t>NOTA DE PRENSA</w:t>
    </w:r>
    <w:r>
      <w:rPr>
        <w:rFonts w:ascii="Roboto" w:eastAsia="Roboto" w:hAnsi="Roboto" w:cs="Roboto"/>
      </w:rPr>
      <w:t xml:space="preserve"> </w:t>
    </w:r>
  </w:p>
  <w:p w14:paraId="7BA43BC5" w14:textId="77777777" w:rsidR="004C7DFF" w:rsidRDefault="004C7D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F506F"/>
    <w:multiLevelType w:val="multilevel"/>
    <w:tmpl w:val="D6785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66374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DFF"/>
    <w:rsid w:val="00024016"/>
    <w:rsid w:val="000A27FD"/>
    <w:rsid w:val="000C21FC"/>
    <w:rsid w:val="000C552D"/>
    <w:rsid w:val="00164AD3"/>
    <w:rsid w:val="00165066"/>
    <w:rsid w:val="002E48D4"/>
    <w:rsid w:val="003606EF"/>
    <w:rsid w:val="003A448C"/>
    <w:rsid w:val="004C7DFF"/>
    <w:rsid w:val="004E5E87"/>
    <w:rsid w:val="0059027C"/>
    <w:rsid w:val="005A232C"/>
    <w:rsid w:val="0060392A"/>
    <w:rsid w:val="006453F9"/>
    <w:rsid w:val="006854B8"/>
    <w:rsid w:val="006A7313"/>
    <w:rsid w:val="006B7732"/>
    <w:rsid w:val="00784AE6"/>
    <w:rsid w:val="007C7491"/>
    <w:rsid w:val="00806E6D"/>
    <w:rsid w:val="00872EB1"/>
    <w:rsid w:val="00874EBB"/>
    <w:rsid w:val="008F578C"/>
    <w:rsid w:val="00936F84"/>
    <w:rsid w:val="009A7889"/>
    <w:rsid w:val="00AD1B5D"/>
    <w:rsid w:val="00B0666F"/>
    <w:rsid w:val="00BA2223"/>
    <w:rsid w:val="00BB3B7C"/>
    <w:rsid w:val="00BD4C7E"/>
    <w:rsid w:val="00BD5095"/>
    <w:rsid w:val="00BD7B44"/>
    <w:rsid w:val="00CF79C5"/>
    <w:rsid w:val="00D9393B"/>
    <w:rsid w:val="00DC2FE6"/>
    <w:rsid w:val="00DC5DEC"/>
    <w:rsid w:val="00DE0EBE"/>
    <w:rsid w:val="00EF72BA"/>
    <w:rsid w:val="00F17302"/>
    <w:rsid w:val="00F41E9D"/>
    <w:rsid w:val="00FA0755"/>
    <w:rsid w:val="00FB768A"/>
    <w:rsid w:val="00FC1351"/>
    <w:rsid w:val="00FD2A3C"/>
    <w:rsid w:val="00FE23B6"/>
    <w:rsid w:val="058364B8"/>
    <w:rsid w:val="07FFF2AE"/>
    <w:rsid w:val="0CF4E17F"/>
    <w:rsid w:val="0F2227A2"/>
    <w:rsid w:val="16D89741"/>
    <w:rsid w:val="176B76AA"/>
    <w:rsid w:val="23DB650E"/>
    <w:rsid w:val="354669D2"/>
    <w:rsid w:val="3F4281F9"/>
    <w:rsid w:val="449C2159"/>
    <w:rsid w:val="472D7B15"/>
    <w:rsid w:val="4E63E281"/>
    <w:rsid w:val="55FE20AA"/>
    <w:rsid w:val="5613B6FA"/>
    <w:rsid w:val="57AD73F4"/>
    <w:rsid w:val="59DA229F"/>
    <w:rsid w:val="6529418B"/>
    <w:rsid w:val="68332E4F"/>
    <w:rsid w:val="6FA7DD3B"/>
    <w:rsid w:val="739B5694"/>
    <w:rsid w:val="7907F82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43BA1"/>
  <w15:docId w15:val="{EED10920-1FD5-445B-A73B-D5051664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rsid w:val="00FA0755"/>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0">
    <w:name w:val="Table Normal10"/>
    <w:rsid w:val="00FA0755"/>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rsid w:val="00011DE5"/>
    <w:tblPr>
      <w:tblCellMar>
        <w:top w:w="0" w:type="dxa"/>
        <w:left w:w="0" w:type="dxa"/>
        <w:bottom w:w="0" w:type="dxa"/>
        <w:right w:w="0" w:type="dxa"/>
      </w:tblCellMar>
    </w:tblPr>
  </w:style>
  <w:style w:type="paragraph" w:styleId="Prrafodelista">
    <w:name w:val="List Paragraph"/>
    <w:basedOn w:val="Normal"/>
    <w:uiPriority w:val="34"/>
    <w:qFormat/>
    <w:rsid w:val="0076731B"/>
    <w:pPr>
      <w:ind w:left="720"/>
      <w:contextualSpacing/>
    </w:pPr>
  </w:style>
  <w:style w:type="paragraph" w:styleId="NormalWeb">
    <w:name w:val="Normal (Web)"/>
    <w:basedOn w:val="Normal"/>
    <w:uiPriority w:val="99"/>
    <w:unhideWhenUsed/>
    <w:rsid w:val="00625F66"/>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625F66"/>
    <w:rPr>
      <w:b/>
      <w:bCs/>
    </w:rPr>
  </w:style>
  <w:style w:type="paragraph" w:styleId="Revisin">
    <w:name w:val="Revision"/>
    <w:hidden/>
    <w:uiPriority w:val="99"/>
    <w:semiHidden/>
    <w:rsid w:val="00B97F7F"/>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87729F"/>
    <w:rPr>
      <w:color w:val="0563C1" w:themeColor="hyperlink"/>
      <w:u w:val="single"/>
    </w:rPr>
  </w:style>
  <w:style w:type="character" w:styleId="Mencinsinresolver">
    <w:name w:val="Unresolved Mention"/>
    <w:basedOn w:val="Fuentedeprrafopredeter"/>
    <w:uiPriority w:val="99"/>
    <w:semiHidden/>
    <w:unhideWhenUsed/>
    <w:rsid w:val="0087729F"/>
    <w:rPr>
      <w:color w:val="605E5C"/>
      <w:shd w:val="clear" w:color="auto" w:fill="E1DFDD"/>
    </w:rPr>
  </w:style>
  <w:style w:type="paragraph" w:styleId="Encabezado">
    <w:name w:val="header"/>
    <w:basedOn w:val="Normal"/>
    <w:link w:val="EncabezadoCar"/>
    <w:uiPriority w:val="99"/>
    <w:semiHidden/>
    <w:unhideWhenUsed/>
    <w:rsid w:val="00D677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D6776A"/>
  </w:style>
  <w:style w:type="paragraph" w:styleId="Piedepgina">
    <w:name w:val="footer"/>
    <w:basedOn w:val="Normal"/>
    <w:link w:val="PiedepginaCar"/>
    <w:uiPriority w:val="99"/>
    <w:semiHidden/>
    <w:unhideWhenUsed/>
    <w:rsid w:val="00D677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6776A"/>
  </w:style>
  <w:style w:type="character" w:styleId="Refdecomentario">
    <w:name w:val="annotation reference"/>
    <w:basedOn w:val="Fuentedeprrafopredeter"/>
    <w:uiPriority w:val="99"/>
    <w:semiHidden/>
    <w:unhideWhenUsed/>
    <w:rsid w:val="00F576E9"/>
    <w:rPr>
      <w:sz w:val="16"/>
      <w:szCs w:val="16"/>
    </w:rPr>
  </w:style>
  <w:style w:type="paragraph" w:styleId="Textocomentario">
    <w:name w:val="annotation text"/>
    <w:basedOn w:val="Normal"/>
    <w:link w:val="TextocomentarioCar"/>
    <w:uiPriority w:val="99"/>
    <w:unhideWhenUsed/>
    <w:rsid w:val="00F576E9"/>
    <w:pPr>
      <w:spacing w:line="240" w:lineRule="auto"/>
    </w:pPr>
    <w:rPr>
      <w:sz w:val="20"/>
      <w:szCs w:val="20"/>
    </w:rPr>
  </w:style>
  <w:style w:type="character" w:customStyle="1" w:styleId="TextocomentarioCar">
    <w:name w:val="Texto comentario Car"/>
    <w:basedOn w:val="Fuentedeprrafopredeter"/>
    <w:link w:val="Textocomentario"/>
    <w:uiPriority w:val="99"/>
    <w:rsid w:val="00F576E9"/>
    <w:rPr>
      <w:sz w:val="20"/>
      <w:szCs w:val="20"/>
    </w:rPr>
  </w:style>
  <w:style w:type="paragraph" w:styleId="Asuntodelcomentario">
    <w:name w:val="annotation subject"/>
    <w:basedOn w:val="Textocomentario"/>
    <w:next w:val="Textocomentario"/>
    <w:link w:val="AsuntodelcomentarioCar"/>
    <w:uiPriority w:val="99"/>
    <w:semiHidden/>
    <w:unhideWhenUsed/>
    <w:rsid w:val="00F576E9"/>
    <w:rPr>
      <w:b/>
      <w:bCs/>
    </w:rPr>
  </w:style>
  <w:style w:type="character" w:customStyle="1" w:styleId="AsuntodelcomentarioCar">
    <w:name w:val="Asunto del comentario Car"/>
    <w:basedOn w:val="TextocomentarioCar"/>
    <w:link w:val="Asuntodelcomentario"/>
    <w:uiPriority w:val="99"/>
    <w:semiHidden/>
    <w:rsid w:val="00F576E9"/>
    <w:rPr>
      <w:b/>
      <w:bCs/>
      <w:sz w:val="20"/>
      <w:szCs w:val="20"/>
    </w:rPr>
  </w:style>
  <w:style w:type="table" w:customStyle="1" w:styleId="TableNormal1">
    <w:name w:val="Table Normal1"/>
    <w:rsid w:val="00FA1A2F"/>
    <w:tblPr>
      <w:tblCellMar>
        <w:top w:w="0" w:type="dxa"/>
        <w:left w:w="0" w:type="dxa"/>
        <w:bottom w:w="0" w:type="dxa"/>
        <w:right w:w="0" w:type="dxa"/>
      </w:tblCellMar>
    </w:tblPr>
  </w:style>
  <w:style w:type="table" w:customStyle="1" w:styleId="TableNormal2">
    <w:name w:val="Table Normal2"/>
    <w:rsid w:val="00FA1A2F"/>
    <w:tblPr>
      <w:tblCellMar>
        <w:top w:w="0" w:type="dxa"/>
        <w:left w:w="0" w:type="dxa"/>
        <w:bottom w:w="0" w:type="dxa"/>
        <w:right w:w="0" w:type="dxa"/>
      </w:tblCellMar>
    </w:tblPr>
  </w:style>
  <w:style w:type="table" w:customStyle="1" w:styleId="TableNormal4">
    <w:name w:val="Table Normal4"/>
    <w:rsid w:val="00011DE5"/>
    <w:tblPr>
      <w:tblCellMar>
        <w:top w:w="0" w:type="dxa"/>
        <w:left w:w="0" w:type="dxa"/>
        <w:bottom w:w="0" w:type="dxa"/>
        <w:right w:w="0" w:type="dxa"/>
      </w:tblCellMar>
    </w:tblPr>
  </w:style>
  <w:style w:type="table" w:customStyle="1" w:styleId="TableNormal3">
    <w:name w:val="Table Normal3"/>
    <w:rsid w:val="00011DE5"/>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ac.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vamc@vareng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B40717131E457AA3414CEB9DA30E1A"/>
        <w:category>
          <w:name w:val="General"/>
          <w:gallery w:val="placeholder"/>
        </w:category>
        <w:types>
          <w:type w:val="bbPlcHdr"/>
        </w:types>
        <w:behaviors>
          <w:behavior w:val="content"/>
        </w:behaviors>
        <w:guid w:val="{E502B1C7-9543-46DD-ACC6-AC53BD68237F}"/>
      </w:docPartPr>
      <w:docPartBody>
        <w:p w:rsidR="004C76C2" w:rsidRDefault="004C76C2"/>
      </w:docPartBody>
    </w:docPart>
    <w:docPart>
      <w:docPartPr>
        <w:name w:val="526BA0B109784CB091FA0D53F9180B61"/>
        <w:category>
          <w:name w:val="General"/>
          <w:gallery w:val="placeholder"/>
        </w:category>
        <w:types>
          <w:type w:val="bbPlcHdr"/>
        </w:types>
        <w:behaviors>
          <w:behavior w:val="content"/>
        </w:behaviors>
        <w:guid w:val="{03BAB57E-FD11-47B0-83B6-642BEA5EDC7B}"/>
      </w:docPartPr>
      <w:docPartBody>
        <w:p w:rsidR="004C76C2" w:rsidRDefault="004C76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06D"/>
    <w:rsid w:val="004C76C2"/>
    <w:rsid w:val="00B0706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96C4EF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52DE15686E4843A3780C010A78B13A" ma:contentTypeVersion="15" ma:contentTypeDescription="Crear nuevo documento." ma:contentTypeScope="" ma:versionID="ba54dbba6823bb614fbd706901ca39c1">
  <xsd:schema xmlns:xsd="http://www.w3.org/2001/XMLSchema" xmlns:xs="http://www.w3.org/2001/XMLSchema" xmlns:p="http://schemas.microsoft.com/office/2006/metadata/properties" xmlns:ns2="6e290ce1-b2e7-4ccb-948d-a290ef611fa1" xmlns:ns3="909e21e3-a2e2-47ca-be0e-9c3a9bef9292" targetNamespace="http://schemas.microsoft.com/office/2006/metadata/properties" ma:root="true" ma:fieldsID="3a90ead9bdecd5fe6a9f9f4930e4f13b" ns2:_="" ns3:_="">
    <xsd:import namespace="6e290ce1-b2e7-4ccb-948d-a290ef611fa1"/>
    <xsd:import namespace="909e21e3-a2e2-47ca-be0e-9c3a9bef929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90ce1-b2e7-4ccb-948d-a290ef61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5c5079e-b5d9-4f40-8558-acc8d9d79a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9e21e3-a2e2-47ca-be0e-9c3a9bef9292"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36efcf77-0706-4f8e-b256-a6b4bd8b1840}" ma:internalName="TaxCatchAll" ma:showField="CatchAllData" ma:web="909e21e3-a2e2-47ca-be0e-9c3a9bef9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FRWv7n51hawsTU2QaAiaPkcxaQ==">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</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290ce1-b2e7-4ccb-948d-a290ef611fa1">
      <Terms xmlns="http://schemas.microsoft.com/office/infopath/2007/PartnerControls"/>
    </lcf76f155ced4ddcb4097134ff3c332f>
    <TaxCatchAll xmlns="909e21e3-a2e2-47ca-be0e-9c3a9bef9292" xsi:nil="true"/>
  </documentManagement>
</p:properties>
</file>

<file path=customXml/itemProps1.xml><?xml version="1.0" encoding="utf-8"?>
<ds:datastoreItem xmlns:ds="http://schemas.openxmlformats.org/officeDocument/2006/customXml" ds:itemID="{C5B98A43-89DD-4848-8B81-96D500E3B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90ce1-b2e7-4ccb-948d-a290ef611fa1"/>
    <ds:schemaRef ds:uri="909e21e3-a2e2-47ca-be0e-9c3a9bef9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E22EB9E-00CC-4265-AA12-F5FC82BAFBA1}">
  <ds:schemaRefs>
    <ds:schemaRef ds:uri="http://schemas.microsoft.com/sharepoint/v3/contenttype/forms"/>
  </ds:schemaRefs>
</ds:datastoreItem>
</file>

<file path=customXml/itemProps4.xml><?xml version="1.0" encoding="utf-8"?>
<ds:datastoreItem xmlns:ds="http://schemas.openxmlformats.org/officeDocument/2006/customXml" ds:itemID="{5551E649-22AE-4522-AA77-313D57396E67}">
  <ds:schemaRefs>
    <ds:schemaRef ds:uri="http://schemas.microsoft.com/office/2006/metadata/properties"/>
    <ds:schemaRef ds:uri="http://schemas.microsoft.com/office/infopath/2007/PartnerControls"/>
    <ds:schemaRef ds:uri="6e290ce1-b2e7-4ccb-948d-a290ef611fa1"/>
    <ds:schemaRef ds:uri="909e21e3-a2e2-47ca-be0e-9c3a9bef929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901</Words>
  <Characters>4959</Characters>
  <Application>Microsoft Office Word</Application>
  <DocSecurity>0</DocSecurity>
  <Lines>41</Lines>
  <Paragraphs>11</Paragraphs>
  <ScaleCrop>false</ScaleCrop>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Soledad Pacheco Alonso</dc:creator>
  <cp:keywords/>
  <cp:lastModifiedBy>Denise Diaz Pozo</cp:lastModifiedBy>
  <cp:revision>17</cp:revision>
  <dcterms:created xsi:type="dcterms:W3CDTF">2023-07-14T01:00:00Z</dcterms:created>
  <dcterms:modified xsi:type="dcterms:W3CDTF">2023-08-02T08:17:00Z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0x0101009152DE15686E4843A3780C010A78B13A</vt:lpwstr>
  </property>
  <property fmtid="{D5CDD505-2E9C-101B-9397-08002B2CF9AE}" pid="3" name="MediaServiceImageTags">
    <vt:lpwstr/>
  </property>
</Properties>
</file>